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附件2:评审意见（评分表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46"/>
        <w:gridCol w:w="774"/>
        <w:gridCol w:w="109"/>
        <w:gridCol w:w="774"/>
        <w:gridCol w:w="2263"/>
        <w:gridCol w:w="1271"/>
        <w:gridCol w:w="8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30" w:type="dxa"/>
            <w:gridSpan w:val="5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评分项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权重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新产业得分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广东电信得分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深圳都信得分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730" w:type="dxa"/>
            <w:gridSpan w:val="5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一、价格部分</w:t>
            </w:r>
          </w:p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（综合评分法中的价格分统一采用低价优先法计算。即满足采购文件要求且报价最低的报价为基准报价，其价格为满分。其他供应商的报价分统一按照下列公示计算：报价得分=（基准报价/供应商报价）×权重。）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29.37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30" w:type="dxa"/>
            <w:gridSpan w:val="5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二、综合实力部分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评分因素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评分方式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评分准则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新产业得分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广东电信得分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深圳都信得分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资质情况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评委打分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甲级得100%，乙级得80%，丙级得60%，没有不得分。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30" w:type="dxa"/>
            <w:gridSpan w:val="5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三、技术部分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评分因素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评分方式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评分准则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新产业得分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广东电信得分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深圳都信得分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同类项目经验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评委打分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具有同类项目经验的，每个得20%，最多得100%。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项目方案文件编制质量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评委打分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横向比较打分，优得85%-100%，良得70%-84%，中得60%-69%，差得0-59%。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30" w:type="dxa"/>
            <w:gridSpan w:val="5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四、诚信情况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评分因素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评分方式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评分准则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新产业得分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广东电信得分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4"/>
                <w:lang w:val="en-US" w:eastAsia="zh-CN"/>
              </w:rPr>
              <w:t>深圳都信得分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诚信</w:t>
            </w:r>
          </w:p>
        </w:tc>
        <w:tc>
          <w:tcPr>
            <w:tcW w:w="77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评委打分</w:t>
            </w:r>
          </w:p>
        </w:tc>
        <w:tc>
          <w:tcPr>
            <w:tcW w:w="2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按照深财规[2017]8号文通知要求，存在通知规定中第五、六、七条规定情形的，得0分。不存在上述情形的得5分。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3" w:type="dxa"/>
            <w:gridSpan w:val="6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271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96.37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65.47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0AD9"/>
    <w:rsid w:val="164A7CF4"/>
    <w:rsid w:val="237C4E9C"/>
    <w:rsid w:val="2ABC7527"/>
    <w:rsid w:val="2D695E5B"/>
    <w:rsid w:val="4A882A6D"/>
    <w:rsid w:val="5B4F4BAC"/>
    <w:rsid w:val="5B782089"/>
    <w:rsid w:val="5D4E74BD"/>
    <w:rsid w:val="704017AB"/>
    <w:rsid w:val="7559390A"/>
    <w:rsid w:val="7ED75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happyge</dc:creator>
  <cp:lastModifiedBy>林良虎</cp:lastModifiedBy>
  <dcterms:modified xsi:type="dcterms:W3CDTF">2020-01-10T10:07:34Z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