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highlight w:val="none"/>
        </w:rPr>
      </w:pPr>
      <w:bookmarkStart w:id="0" w:name="_GoBack"/>
      <w:r>
        <w:rPr>
          <w:rFonts w:hint="eastAsia" w:ascii="宋体" w:hAnsi="宋体" w:cs="宋体"/>
          <w:b/>
          <w:bCs/>
          <w:sz w:val="44"/>
          <w:szCs w:val="44"/>
          <w:highlight w:val="none"/>
        </w:rPr>
        <w:t>信义荔山御园小区公共租赁住房</w:t>
      </w:r>
    </w:p>
    <w:p>
      <w:pPr>
        <w:spacing w:line="560" w:lineRule="exact"/>
        <w:jc w:val="center"/>
        <w:rPr>
          <w:rFonts w:ascii="宋体" w:hAnsi="宋体" w:cs="宋体"/>
          <w:b/>
          <w:bCs/>
          <w:sz w:val="44"/>
          <w:szCs w:val="44"/>
          <w:highlight w:val="none"/>
        </w:rPr>
      </w:pPr>
      <w:r>
        <w:rPr>
          <w:rFonts w:hint="eastAsia" w:ascii="宋体" w:hAnsi="宋体" w:cs="宋体"/>
          <w:b/>
          <w:bCs/>
          <w:sz w:val="44"/>
          <w:szCs w:val="44"/>
          <w:highlight w:val="none"/>
        </w:rPr>
        <w:t>有关温馨提示</w:t>
      </w:r>
    </w:p>
    <w:p>
      <w:pPr>
        <w:spacing w:line="560" w:lineRule="exact"/>
        <w:rPr>
          <w:rFonts w:ascii="仿宋" w:hAnsi="仿宋" w:cs="仿宋"/>
          <w:sz w:val="32"/>
          <w:szCs w:val="32"/>
          <w:highlight w:val="none"/>
        </w:rPr>
      </w:pPr>
    </w:p>
    <w:p>
      <w:pPr>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各认租家庭：</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为方便您选择房源，现就信义荔山御园公共租赁住房（以下简称“本项目”）相关情况，提示如下：</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一、关于地理位置</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本项目位于深圳市龙岗区布吉街道</w:t>
      </w:r>
      <w:r>
        <w:rPr>
          <w:rFonts w:hint="eastAsia" w:ascii="仿宋_GB2312" w:hAnsi="仿宋_GB2312" w:eastAsia="仿宋_GB2312" w:cs="仿宋_GB2312"/>
          <w:sz w:val="32"/>
          <w:szCs w:val="32"/>
          <w:highlight w:val="none"/>
          <w:lang w:eastAsia="zh-CN"/>
        </w:rPr>
        <w:t>罗</w:t>
      </w:r>
      <w:r>
        <w:rPr>
          <w:rFonts w:hint="eastAsia" w:ascii="仿宋_GB2312" w:hAnsi="仿宋_GB2312" w:eastAsia="仿宋_GB2312" w:cs="仿宋_GB2312"/>
          <w:sz w:val="32"/>
          <w:szCs w:val="32"/>
          <w:highlight w:val="none"/>
        </w:rPr>
        <w:t>岗路69号</w:t>
      </w:r>
      <w:r>
        <w:rPr>
          <w:rFonts w:hint="eastAsia" w:ascii="仿宋_GB2312" w:hAnsi="仿宋_GB2312" w:eastAsia="仿宋_GB2312" w:cs="仿宋_GB2312"/>
          <w:sz w:val="32"/>
          <w:szCs w:val="32"/>
          <w:highlight w:val="none"/>
          <w:lang w:eastAsia="zh-CN"/>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二、关于周边环境</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rPr>
        <w:t>往东是翔鸽路，可以去华润万象汇大型综合商业体、百鸽笼地铁站、万科红生活广场及沃尔玛；</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往西是金排路、金稻田路，可到理想家园、罗湖草埔及罗湖布心；</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往南是南环路，可到佳兆业可园、求水山公园；</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往北是罗岗路、金排路、百鸽路，可以到荔山公园、信义假日名城小学、深圳东站及布吉地铁站等。</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w:t>
      </w:r>
      <w:r>
        <w:rPr>
          <w:rFonts w:hint="eastAsia" w:ascii="仿宋_GB2312" w:hAnsi="仿宋_GB2312" w:eastAsia="仿宋_GB2312" w:cs="仿宋_GB2312"/>
          <w:sz w:val="32"/>
          <w:szCs w:val="32"/>
          <w:highlight w:val="none"/>
        </w:rPr>
        <w:t>5号线-百鸽笼（步行约490米）； 5号线-布心（步行约1410米）； 3号线-布吉（步行约1443米）； 5号线-布吉（步行约1443米）； 3号线-草埔（步行约1495米）</w:t>
      </w:r>
      <w:r>
        <w:rPr>
          <w:rFonts w:hint="eastAsia" w:ascii="仿宋_GB2312" w:hAnsi="仿宋_GB2312" w:eastAsia="仿宋_GB2312" w:cs="仿宋_GB2312"/>
          <w:sz w:val="32"/>
          <w:szCs w:val="32"/>
          <w:highlight w:val="none"/>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rPr>
        <w:t>周边学校（含幼儿园）学校名称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布吉街道可园学校（小学</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初中），贤义外国学校（小学</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初中），信义假日名城小学</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sz w:val="32"/>
          <w:szCs w:val="32"/>
          <w:highlight w:val="none"/>
        </w:rPr>
        <w:t>幼儿园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荔山御园幼儿园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特蕾新理想幼儿园</w:t>
      </w:r>
      <w:r>
        <w:rPr>
          <w:rFonts w:hint="eastAsia" w:ascii="仿宋_GB2312" w:hAnsi="仿宋_GB2312" w:eastAsia="仿宋_GB2312" w:cs="仿宋_GB2312"/>
          <w:sz w:val="32"/>
          <w:szCs w:val="32"/>
          <w:highlight w:val="none"/>
          <w:lang w:eastAsia="zh-CN"/>
        </w:rPr>
        <w:t>，加洲幼儿园等。</w:t>
      </w:r>
      <w:r>
        <w:rPr>
          <w:rFonts w:hint="eastAsia" w:ascii="仿宋_GB2312" w:hAnsi="仿宋_GB2312" w:eastAsia="仿宋_GB2312" w:cs="仿宋_GB2312"/>
          <w:sz w:val="32"/>
          <w:szCs w:val="32"/>
          <w:highlight w:val="none"/>
        </w:rPr>
        <w:t>具体情况以龙岗区教育局或承租小区周边学校发布的信息为准</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w:t>
      </w:r>
      <w:r>
        <w:rPr>
          <w:rFonts w:hint="eastAsia" w:ascii="仿宋_GB2312" w:hAnsi="仿宋_GB2312" w:eastAsia="仿宋_GB2312" w:cs="仿宋_GB2312"/>
          <w:sz w:val="32"/>
          <w:szCs w:val="32"/>
          <w:highlight w:val="none"/>
        </w:rPr>
        <w:t>钱大妈、华润万家、百果园</w:t>
      </w:r>
      <w:r>
        <w:rPr>
          <w:rFonts w:hint="eastAsia" w:ascii="仿宋_GB2312" w:hAnsi="仿宋_GB2312" w:eastAsia="仿宋_GB2312" w:cs="仿宋_GB2312"/>
          <w:sz w:val="32"/>
          <w:szCs w:val="32"/>
          <w:highlight w:val="none"/>
          <w:lang w:eastAsia="zh-CN"/>
        </w:rPr>
        <w:t>、菜场，商超，商业综合体，华润万象汇大型综合商超及沃尔玛可以满足所有购物需求。休闲娱乐会所， 游泳池， 社区娱乐室， 乒乓球，跑步，公园。小区旁边就是荔山公园，小区有人行走廊直达华润万象汇、300米到达沃尔玛，生活出行</w:t>
      </w:r>
      <w:r>
        <w:rPr>
          <w:rFonts w:hint="eastAsia" w:ascii="仿宋_GB2312" w:hAnsi="仿宋_GB2312" w:eastAsia="仿宋_GB2312" w:cs="仿宋_GB2312"/>
          <w:sz w:val="32"/>
          <w:szCs w:val="32"/>
          <w:highlight w:val="none"/>
        </w:rPr>
        <w:t>等日常生活配套</w:t>
      </w:r>
      <w:r>
        <w:rPr>
          <w:rFonts w:hint="eastAsia" w:ascii="仿宋_GB2312" w:hAnsi="仿宋_GB2312" w:eastAsia="仿宋_GB2312" w:cs="仿宋_GB2312"/>
          <w:sz w:val="32"/>
          <w:szCs w:val="32"/>
          <w:highlight w:val="none"/>
          <w:lang w:eastAsia="zh-CN"/>
        </w:rPr>
        <w:t>都相当方便</w:t>
      </w:r>
      <w:r>
        <w:rPr>
          <w:rFonts w:hint="eastAsia" w:ascii="仿宋_GB2312" w:hAnsi="仿宋_GB2312" w:eastAsia="仿宋_GB2312" w:cs="仿宋_GB2312"/>
          <w:sz w:val="32"/>
          <w:szCs w:val="32"/>
          <w:highlight w:val="none"/>
        </w:rPr>
        <w:t>。</w:t>
      </w:r>
    </w:p>
    <w:p>
      <w:pPr>
        <w:pStyle w:val="4"/>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rPr>
        <w:t>负一层配置了水泵房</w:t>
      </w:r>
      <w:r>
        <w:rPr>
          <w:rFonts w:hint="eastAsia" w:ascii="仿宋_GB2312" w:hAnsi="仿宋_GB2312" w:eastAsia="仿宋_GB2312" w:cs="仿宋_GB2312"/>
          <w:sz w:val="32"/>
          <w:szCs w:val="32"/>
          <w:highlight w:val="none"/>
        </w:rPr>
        <w:t>。</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rPr>
        <w:t>一层为出租商铺。</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以上商铺经营时产生的噪音、热风等可能会对周边环境及邻近房产带来影响。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停车位</w:t>
      </w:r>
      <w:r>
        <w:rPr>
          <w:rFonts w:hint="eastAsia" w:ascii="仿宋_GB2312" w:hAnsi="仿宋_GB2312" w:eastAsia="仿宋_GB2312" w:cs="仿宋_GB2312"/>
          <w:sz w:val="32"/>
          <w:szCs w:val="32"/>
          <w:highlight w:val="none"/>
          <w:lang w:val="en-US" w:eastAsia="zh-CN"/>
        </w:rPr>
        <w:t>135</w:t>
      </w:r>
      <w:r>
        <w:rPr>
          <w:rFonts w:hint="eastAsia" w:ascii="仿宋_GB2312" w:hAnsi="仿宋_GB2312" w:eastAsia="仿宋_GB2312" w:cs="仿宋_GB2312"/>
          <w:sz w:val="32"/>
          <w:szCs w:val="32"/>
          <w:highlight w:val="none"/>
        </w:rPr>
        <w:t>个，根据政府相关部门申请的停车场收费标准定价为</w:t>
      </w:r>
      <w:r>
        <w:rPr>
          <w:rFonts w:hint="eastAsia" w:ascii="仿宋_GB2312" w:hAnsi="仿宋_GB2312" w:eastAsia="仿宋_GB2312" w:cs="仿宋_GB2312"/>
          <w:sz w:val="32"/>
          <w:szCs w:val="32"/>
          <w:highlight w:val="none"/>
          <w:lang w:eastAsia="zh-CN"/>
        </w:rPr>
        <w:t>地面</w:t>
      </w:r>
      <w:r>
        <w:rPr>
          <w:rFonts w:hint="eastAsia" w:ascii="仿宋_GB2312" w:hAnsi="仿宋_GB2312" w:eastAsia="仿宋_GB2312" w:cs="仿宋_GB2312"/>
          <w:sz w:val="32"/>
          <w:szCs w:val="32"/>
          <w:highlight w:val="none"/>
        </w:rPr>
        <w:t>月卡</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元/月</w:t>
      </w:r>
      <w:r>
        <w:rPr>
          <w:rFonts w:hint="eastAsia" w:ascii="仿宋_GB2312" w:hAnsi="仿宋_GB2312" w:eastAsia="仿宋_GB2312" w:cs="仿宋_GB2312"/>
          <w:sz w:val="32"/>
          <w:szCs w:val="32"/>
          <w:highlight w:val="none"/>
          <w:lang w:eastAsia="zh-CN"/>
        </w:rPr>
        <w:t>、地库</w:t>
      </w:r>
      <w:r>
        <w:rPr>
          <w:rFonts w:hint="eastAsia" w:ascii="仿宋_GB2312" w:hAnsi="仿宋_GB2312" w:eastAsia="仿宋_GB2312" w:cs="仿宋_GB2312"/>
          <w:sz w:val="32"/>
          <w:szCs w:val="32"/>
          <w:highlight w:val="none"/>
        </w:rPr>
        <w:t>月卡</w:t>
      </w:r>
      <w:r>
        <w:rPr>
          <w:rFonts w:hint="eastAsia" w:ascii="仿宋_GB2312" w:hAnsi="仿宋_GB2312" w:eastAsia="仿宋_GB2312" w:cs="仿宋_GB2312"/>
          <w:sz w:val="32"/>
          <w:szCs w:val="32"/>
          <w:highlight w:val="none"/>
          <w:lang w:val="en-US" w:eastAsia="zh-CN"/>
        </w:rPr>
        <w:t>250</w:t>
      </w:r>
      <w:r>
        <w:rPr>
          <w:rFonts w:hint="eastAsia" w:ascii="仿宋_GB2312" w:hAnsi="仿宋_GB2312" w:eastAsia="仿宋_GB2312" w:cs="仿宋_GB2312"/>
          <w:sz w:val="32"/>
          <w:szCs w:val="32"/>
          <w:highlight w:val="none"/>
        </w:rPr>
        <w:t>元/月（停车位</w:t>
      </w:r>
      <w:r>
        <w:rPr>
          <w:rFonts w:hint="eastAsia" w:ascii="仿宋_GB2312" w:hAnsi="仿宋_GB2312" w:eastAsia="仿宋_GB2312" w:cs="仿宋_GB2312"/>
          <w:sz w:val="32"/>
          <w:szCs w:val="32"/>
          <w:highlight w:val="none"/>
          <w:lang w:eastAsia="zh-CN"/>
        </w:rPr>
        <w:t>排队办理</w:t>
      </w:r>
      <w:r>
        <w:rPr>
          <w:rFonts w:hint="eastAsia" w:ascii="仿宋_GB2312" w:hAnsi="仿宋_GB2312" w:eastAsia="仿宋_GB2312" w:cs="仿宋_GB2312"/>
          <w:sz w:val="32"/>
          <w:szCs w:val="32"/>
          <w:highlight w:val="none"/>
        </w:rPr>
        <w:t>），临时停车费用封顶为</w:t>
      </w:r>
      <w:r>
        <w:rPr>
          <w:rFonts w:hint="eastAsia" w:ascii="仿宋_GB2312" w:hAnsi="仿宋_GB2312" w:eastAsia="仿宋_GB2312" w:cs="仿宋_GB2312"/>
          <w:sz w:val="32"/>
          <w:szCs w:val="32"/>
          <w:highlight w:val="none"/>
        </w:rPr>
        <w:t>10</w:t>
      </w:r>
      <w:r>
        <w:rPr>
          <w:rFonts w:hint="eastAsia" w:ascii="仿宋_GB2312" w:hAnsi="仿宋_GB2312" w:eastAsia="仿宋_GB2312" w:cs="仿宋_GB2312"/>
          <w:sz w:val="32"/>
          <w:szCs w:val="32"/>
          <w:highlight w:val="none"/>
        </w:rPr>
        <w:t>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本项目车辆出入口位于本项目大门，可能产生包括但不限于噪音、烟尘、废气等影响。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w:t>
      </w:r>
      <w:r>
        <w:rPr>
          <w:rFonts w:hint="eastAsia" w:ascii="仿宋_GB2312" w:hAnsi="仿宋_GB2312" w:eastAsia="仿宋_GB2312" w:cs="仿宋_GB2312"/>
          <w:sz w:val="32"/>
          <w:szCs w:val="32"/>
          <w:highlight w:val="none"/>
          <w:lang w:val="en-US" w:eastAsia="zh-CN"/>
        </w:rPr>
        <w:t>4.38</w:t>
      </w:r>
      <w:r>
        <w:rPr>
          <w:rFonts w:hint="eastAsia" w:ascii="仿宋_GB2312" w:hAnsi="仿宋_GB2312" w:eastAsia="仿宋_GB2312" w:cs="仿宋_GB2312"/>
          <w:sz w:val="32"/>
          <w:szCs w:val="32"/>
          <w:highlight w:val="none"/>
        </w:rPr>
        <w:t>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厨房地面铺贴防滑砖、墙面铺贴瓷砖。</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十、其他提醒事项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以上事项，请认真阅读，感谢您对我区住房保障工作的理解和支持！</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D2F26"/>
    <w:rsid w:val="004726FD"/>
    <w:rsid w:val="005F0B19"/>
    <w:rsid w:val="00A9643E"/>
    <w:rsid w:val="00AB2E30"/>
    <w:rsid w:val="038F24B5"/>
    <w:rsid w:val="0B8947CF"/>
    <w:rsid w:val="0B9D4253"/>
    <w:rsid w:val="0EA13467"/>
    <w:rsid w:val="0F4C661B"/>
    <w:rsid w:val="20C308A3"/>
    <w:rsid w:val="24477519"/>
    <w:rsid w:val="2AD83B65"/>
    <w:rsid w:val="2EB15D80"/>
    <w:rsid w:val="307A18B7"/>
    <w:rsid w:val="3D612719"/>
    <w:rsid w:val="42FF4DB5"/>
    <w:rsid w:val="4B487E47"/>
    <w:rsid w:val="4D23366D"/>
    <w:rsid w:val="5B8C5645"/>
    <w:rsid w:val="5B91708F"/>
    <w:rsid w:val="5CA35363"/>
    <w:rsid w:val="651E5D8E"/>
    <w:rsid w:val="71D4725C"/>
    <w:rsid w:val="78957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161</Words>
  <Characters>924</Characters>
  <Lines>7</Lines>
  <Paragraphs>2</Paragraphs>
  <TotalTime>0</TotalTime>
  <ScaleCrop>false</ScaleCrop>
  <LinksUpToDate>false</LinksUpToDate>
  <CharactersWithSpaces>1083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2020-10-23T06:30:03Z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