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highlight w:val="none"/>
        </w:rPr>
      </w:pPr>
      <w:r>
        <w:rPr>
          <w:rFonts w:hint="default" w:ascii="宋体" w:hAnsi="宋体" w:cs="宋体"/>
          <w:b/>
          <w:bCs/>
          <w:sz w:val="44"/>
          <w:szCs w:val="44"/>
          <w:highlight w:val="none"/>
          <w:lang w:val="en-US"/>
        </w:rPr>
        <w:t>万科公园</w:t>
      </w:r>
      <w:r>
        <w:rPr>
          <w:rFonts w:hint="eastAsia" w:ascii="宋体" w:hAnsi="宋体" w:cs="宋体"/>
          <w:b/>
          <w:bCs/>
          <w:sz w:val="44"/>
          <w:szCs w:val="44"/>
          <w:highlight w:val="none"/>
          <w:lang w:val="en-US" w:eastAsia="zh-CN"/>
        </w:rPr>
        <w:t>里</w:t>
      </w:r>
      <w:r>
        <w:rPr>
          <w:rFonts w:hint="eastAsia" w:ascii="宋体" w:hAnsi="宋体" w:cs="宋体"/>
          <w:b/>
          <w:bCs/>
          <w:sz w:val="44"/>
          <w:szCs w:val="44"/>
          <w:highlight w:val="none"/>
        </w:rPr>
        <w:t>花园</w:t>
      </w:r>
      <w:r>
        <w:rPr>
          <w:rFonts w:hint="eastAsia" w:ascii="宋体" w:hAnsi="宋体" w:cs="宋体"/>
          <w:b/>
          <w:bCs/>
          <w:sz w:val="44"/>
          <w:szCs w:val="44"/>
          <w:highlight w:val="none"/>
          <w:lang w:val="en-US" w:eastAsia="zh-CN"/>
        </w:rPr>
        <w:t>三期</w:t>
      </w:r>
      <w:bookmarkStart w:id="0" w:name="_GoBack"/>
      <w:bookmarkEnd w:id="0"/>
      <w:r>
        <w:rPr>
          <w:rFonts w:hint="eastAsia" w:ascii="宋体" w:hAnsi="宋体" w:cs="宋体"/>
          <w:b/>
          <w:bCs/>
          <w:sz w:val="44"/>
          <w:szCs w:val="44"/>
          <w:highlight w:val="none"/>
        </w:rPr>
        <w:t>小区公共租赁住房</w:t>
      </w:r>
    </w:p>
    <w:p>
      <w:pPr>
        <w:spacing w:line="560" w:lineRule="exact"/>
        <w:jc w:val="center"/>
        <w:rPr>
          <w:rFonts w:ascii="宋体" w:hAnsi="宋体" w:cs="宋体"/>
          <w:b/>
          <w:bCs/>
          <w:sz w:val="44"/>
          <w:szCs w:val="44"/>
          <w:highlight w:val="none"/>
        </w:rPr>
      </w:pPr>
      <w:r>
        <w:rPr>
          <w:rFonts w:hint="eastAsia" w:ascii="宋体" w:hAnsi="宋体" w:cs="宋体"/>
          <w:b/>
          <w:bCs/>
          <w:sz w:val="44"/>
          <w:szCs w:val="44"/>
          <w:highlight w:val="none"/>
        </w:rPr>
        <w:t>有关温馨提示</w:t>
      </w:r>
    </w:p>
    <w:p>
      <w:pPr>
        <w:spacing w:line="560" w:lineRule="exact"/>
        <w:rPr>
          <w:rFonts w:ascii="仿宋" w:hAnsi="仿宋" w:cs="仿宋"/>
          <w:sz w:val="32"/>
          <w:szCs w:val="32"/>
          <w:highlight w:val="none"/>
        </w:rPr>
      </w:pPr>
    </w:p>
    <w:p>
      <w:pPr>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各认租家庭：</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为方便您选择房源，现就</w:t>
      </w:r>
      <w:r>
        <w:rPr>
          <w:rFonts w:hint="default" w:ascii="仿宋_GB2312" w:hAnsi="仿宋_GB2312" w:eastAsia="仿宋_GB2312" w:cs="仿宋_GB2312"/>
          <w:sz w:val="32"/>
          <w:szCs w:val="32"/>
          <w:highlight w:val="none"/>
          <w:lang w:val="en-US"/>
        </w:rPr>
        <w:t>万科公园里</w:t>
      </w:r>
      <w:r>
        <w:rPr>
          <w:rFonts w:hint="eastAsia" w:ascii="仿宋_GB2312" w:hAnsi="仿宋_GB2312" w:eastAsia="仿宋_GB2312" w:cs="仿宋_GB2312"/>
          <w:sz w:val="32"/>
          <w:szCs w:val="32"/>
          <w:highlight w:val="none"/>
        </w:rPr>
        <w:t>花园公共租赁住房（以下简称“本项目”）相关情况，提示如下：</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一、关于地理位置</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本项目位于深圳市龙岗区南湾街道</w:t>
      </w:r>
      <w:r>
        <w:rPr>
          <w:rFonts w:hint="default" w:ascii="仿宋_GB2312" w:hAnsi="仿宋_GB2312" w:eastAsia="仿宋_GB2312" w:cs="仿宋_GB2312"/>
          <w:sz w:val="32"/>
          <w:szCs w:val="32"/>
          <w:highlight w:val="none"/>
          <w:lang w:val="en-US"/>
        </w:rPr>
        <w:t>樟树布万科公园里</w:t>
      </w:r>
      <w:r>
        <w:rPr>
          <w:rFonts w:hint="eastAsia" w:ascii="仿宋_GB2312" w:hAnsi="仿宋_GB2312" w:eastAsia="仿宋_GB2312" w:cs="仿宋_GB2312"/>
          <w:sz w:val="32"/>
          <w:szCs w:val="32"/>
          <w:highlight w:val="none"/>
        </w:rPr>
        <w:t>花园</w:t>
      </w:r>
      <w:r>
        <w:rPr>
          <w:rFonts w:hint="eastAsia" w:ascii="仿宋_GB2312" w:hAnsi="仿宋_GB2312" w:eastAsia="仿宋_GB2312" w:cs="仿宋_GB2312"/>
          <w:sz w:val="32"/>
          <w:szCs w:val="32"/>
          <w:highlight w:val="none"/>
          <w:lang w:eastAsia="zh-CN"/>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二、关于周边环境</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本项目东临沙湾路，南布沙路，西临龙岗大道，北临丹平快速。</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本项目距离地铁3号线</w:t>
      </w:r>
      <w:r>
        <w:rPr>
          <w:rFonts w:hint="default" w:ascii="仿宋_GB2312" w:hAnsi="仿宋_GB2312" w:eastAsia="仿宋_GB2312" w:cs="仿宋_GB2312"/>
          <w:sz w:val="32"/>
          <w:szCs w:val="32"/>
          <w:highlight w:val="none"/>
          <w:lang w:val="en-US"/>
        </w:rPr>
        <w:t>木棉湾</w:t>
      </w:r>
      <w:r>
        <w:rPr>
          <w:rFonts w:hint="eastAsia" w:ascii="仿宋_GB2312" w:hAnsi="仿宋_GB2312" w:eastAsia="仿宋_GB2312" w:cs="仿宋_GB2312"/>
          <w:sz w:val="32"/>
          <w:szCs w:val="32"/>
          <w:highlight w:val="none"/>
        </w:rPr>
        <w:t>地铁站约2.</w:t>
      </w:r>
      <w:r>
        <w:rPr>
          <w:rFonts w:hint="default" w:ascii="仿宋_GB2312" w:hAnsi="仿宋_GB2312" w:eastAsia="仿宋_GB2312" w:cs="仿宋_GB2312"/>
          <w:sz w:val="32"/>
          <w:szCs w:val="32"/>
          <w:highlight w:val="none"/>
          <w:lang w:val="en-US"/>
        </w:rPr>
        <w:t>7</w:t>
      </w:r>
      <w:r>
        <w:rPr>
          <w:rFonts w:hint="eastAsia" w:ascii="仿宋_GB2312" w:hAnsi="仿宋_GB2312" w:eastAsia="仿宋_GB2312" w:cs="仿宋_GB2312"/>
          <w:sz w:val="32"/>
          <w:szCs w:val="32"/>
          <w:highlight w:val="none"/>
        </w:rPr>
        <w:t>公里，</w:t>
      </w:r>
      <w:r>
        <w:rPr>
          <w:rFonts w:hint="default" w:ascii="仿宋_GB2312" w:hAnsi="仿宋_GB2312" w:eastAsia="仿宋_GB2312" w:cs="仿宋_GB2312"/>
          <w:sz w:val="32"/>
          <w:szCs w:val="32"/>
          <w:highlight w:val="none"/>
          <w:lang w:val="en-US"/>
        </w:rPr>
        <w:t>樟树布</w:t>
      </w:r>
      <w:r>
        <w:rPr>
          <w:rFonts w:hint="eastAsia" w:ascii="仿宋_GB2312" w:hAnsi="仿宋_GB2312" w:eastAsia="仿宋_GB2312" w:cs="仿宋_GB2312"/>
          <w:sz w:val="32"/>
          <w:szCs w:val="32"/>
          <w:highlight w:val="none"/>
        </w:rPr>
        <w:t>公交站</w:t>
      </w:r>
      <w:r>
        <w:rPr>
          <w:rFonts w:hint="default" w:ascii="仿宋_GB2312" w:hAnsi="仿宋_GB2312" w:eastAsia="仿宋_GB2312" w:cs="仿宋_GB2312"/>
          <w:sz w:val="32"/>
          <w:szCs w:val="32"/>
          <w:highlight w:val="none"/>
          <w:lang w:val="en-US"/>
        </w:rPr>
        <w:t>5</w:t>
      </w:r>
      <w:r>
        <w:rPr>
          <w:rFonts w:hint="eastAsia" w:ascii="仿宋_GB2312" w:hAnsi="仿宋_GB2312" w:eastAsia="仿宋_GB2312" w:cs="仿宋_GB2312"/>
          <w:sz w:val="32"/>
          <w:szCs w:val="32"/>
          <w:highlight w:val="none"/>
        </w:rPr>
        <w:t>00米。途径各站点的公交线路信息可登录深圳市交通运输委员会官方网站查询。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本项目周边学校</w:t>
      </w:r>
      <w:r>
        <w:rPr>
          <w:rFonts w:hint="default" w:ascii="仿宋_GB2312" w:hAnsi="仿宋_GB2312" w:eastAsia="仿宋_GB2312" w:cs="仿宋_GB2312"/>
          <w:sz w:val="32"/>
          <w:szCs w:val="32"/>
          <w:highlight w:val="none"/>
          <w:lang w:val="en-US"/>
        </w:rPr>
        <w:t>沙塘布小学，</w:t>
      </w:r>
      <w:r>
        <w:rPr>
          <w:rFonts w:hint="eastAsia" w:ascii="仿宋_GB2312" w:hAnsi="仿宋_GB2312" w:eastAsia="仿宋_GB2312" w:cs="仿宋_GB2312"/>
          <w:sz w:val="32"/>
          <w:szCs w:val="32"/>
          <w:highlight w:val="none"/>
        </w:rPr>
        <w:t>（含幼儿园）学位均处于紧张状态，无法完全满足承租住户适龄儿童入读需求，具体情况以龙岗区教育局或承租小区周边学校发布的信息为准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w:t>
      </w:r>
      <w:r>
        <w:rPr>
          <w:rFonts w:hint="eastAsia" w:ascii="仿宋_GB2312" w:hAnsi="仿宋_GB2312" w:eastAsia="仿宋_GB2312" w:cs="仿宋_GB2312"/>
          <w:sz w:val="32"/>
          <w:szCs w:val="32"/>
          <w:highlight w:val="none"/>
        </w:rPr>
        <w:t>钱大妈</w:t>
      </w:r>
      <w:r>
        <w:rPr>
          <w:rFonts w:hint="default" w:ascii="仿宋_GB2312" w:hAnsi="仿宋_GB2312" w:eastAsia="仿宋_GB2312" w:cs="仿宋_GB2312"/>
          <w:sz w:val="32"/>
          <w:szCs w:val="32"/>
          <w:highlight w:val="none"/>
          <w:lang w:val="en-US"/>
        </w:rPr>
        <w:t>、番薯藤、</w:t>
      </w:r>
      <w:r>
        <w:rPr>
          <w:rFonts w:hint="eastAsia" w:ascii="仿宋_GB2312" w:hAnsi="仿宋_GB2312" w:eastAsia="仿宋_GB2312" w:cs="仿宋_GB2312"/>
          <w:sz w:val="32"/>
          <w:szCs w:val="32"/>
          <w:highlight w:val="none"/>
        </w:rPr>
        <w:t>华润万家、百果园等日常生活配套。</w:t>
      </w:r>
    </w:p>
    <w:p>
      <w:pPr>
        <w:pStyle w:val="4"/>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val="en-US"/>
        </w:rPr>
        <w:t>万科公园里</w:t>
      </w:r>
      <w:r>
        <w:rPr>
          <w:rFonts w:hint="eastAsia" w:ascii="仿宋_GB2312" w:hAnsi="仿宋_GB2312" w:eastAsia="仿宋_GB2312" w:cs="仿宋_GB2312"/>
          <w:sz w:val="32"/>
          <w:szCs w:val="32"/>
          <w:highlight w:val="none"/>
        </w:rPr>
        <w:t>花园负二层分别配置了高低压配电房、发电机房、风机房和水泵房。</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val="en-US"/>
        </w:rPr>
        <w:t>万科公园里</w:t>
      </w:r>
      <w:r>
        <w:rPr>
          <w:rFonts w:hint="eastAsia" w:ascii="仿宋_GB2312" w:hAnsi="仿宋_GB2312" w:eastAsia="仿宋_GB2312" w:cs="仿宋_GB2312"/>
          <w:sz w:val="32"/>
          <w:szCs w:val="32"/>
          <w:highlight w:val="none"/>
        </w:rPr>
        <w:t>花园一层为出租商铺。</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停车位</w:t>
      </w:r>
      <w:r>
        <w:rPr>
          <w:rFonts w:hint="default" w:ascii="仿宋_GB2312" w:hAnsi="仿宋_GB2312" w:eastAsia="仿宋_GB2312" w:cs="仿宋_GB2312"/>
          <w:sz w:val="32"/>
          <w:szCs w:val="32"/>
          <w:highlight w:val="none"/>
          <w:lang w:val="en-US"/>
        </w:rPr>
        <w:t>已饱和</w:t>
      </w:r>
      <w:r>
        <w:rPr>
          <w:rFonts w:hint="eastAsia" w:ascii="仿宋_GB2312" w:hAnsi="仿宋_GB2312" w:eastAsia="仿宋_GB2312" w:cs="仿宋_GB2312"/>
          <w:sz w:val="32"/>
          <w:szCs w:val="32"/>
          <w:highlight w:val="none"/>
          <w:lang w:val="en-US" w:eastAsia="zh-CN"/>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住宅物业服务费标准暂定为3.</w:t>
      </w:r>
      <w:r>
        <w:rPr>
          <w:rFonts w:hint="default" w:ascii="仿宋_GB2312" w:hAnsi="仿宋_GB2312" w:eastAsia="仿宋_GB2312" w:cs="仿宋_GB2312"/>
          <w:sz w:val="32"/>
          <w:szCs w:val="32"/>
          <w:highlight w:val="none"/>
          <w:lang w:val="en-US"/>
        </w:rPr>
        <w:t>8</w:t>
      </w:r>
      <w:r>
        <w:rPr>
          <w:rFonts w:hint="eastAsia" w:ascii="仿宋_GB2312" w:hAnsi="仿宋_GB2312" w:eastAsia="仿宋_GB2312" w:cs="仿宋_GB2312"/>
          <w:sz w:val="32"/>
          <w:szCs w:val="32"/>
          <w:highlight w:val="none"/>
        </w:rPr>
        <w:t>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厨房地面铺贴防滑砖、墙面铺贴瓷砖。</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十、其他提醒事项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以上事项，请认真阅读，感谢您对我区住房保障工作的理解和支持！</w:t>
      </w:r>
    </w:p>
    <w:p>
      <w:pPr>
        <w:spacing w:line="560" w:lineRule="exact"/>
        <w:rPr>
          <w:rFonts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0000001"/>
    <w:multiLevelType w:val="singleLevel"/>
    <w:tmpl w:val="00000001"/>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D5086B"/>
    <w:rsid w:val="4ED90F16"/>
    <w:rsid w:val="796C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uiPriority w:val="1"/>
  </w:style>
  <w:style w:type="table" w:default="1" w:styleId="2">
    <w:name w:val="Normal Table"/>
    <w:uiPriority w:val="99"/>
    <w:tblPr>
      <w:tblLayout w:type="fixed"/>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936</Words>
  <Characters>946</Characters>
  <Paragraphs>37</Paragraphs>
  <TotalTime>13</TotalTime>
  <ScaleCrop>false</ScaleCrop>
  <LinksUpToDate>false</LinksUpToDate>
  <CharactersWithSpaces>946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2020-10-23T08:55:48Z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