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宋体" w:hAnsi="宋体" w:cs="宋体"/>
          <w:b/>
          <w:sz w:val="44"/>
          <w:szCs w:val="44"/>
        </w:rPr>
      </w:pPr>
      <w:bookmarkStart w:id="0" w:name="_Hlk53234694"/>
    </w:p>
    <w:p>
      <w:pPr>
        <w:snapToGrid w:val="0"/>
        <w:spacing w:line="560" w:lineRule="exact"/>
        <w:jc w:val="center"/>
        <w:rPr>
          <w:rFonts w:ascii="宋体" w:hAnsi="宋体" w:cs="宋体"/>
          <w:b/>
          <w:sz w:val="44"/>
          <w:szCs w:val="44"/>
        </w:rPr>
      </w:pPr>
      <w:bookmarkStart w:id="5" w:name="_GoBack"/>
      <w:r>
        <w:rPr>
          <w:rFonts w:hint="eastAsia" w:ascii="宋体" w:hAnsi="宋体" w:cs="宋体"/>
          <w:b/>
          <w:sz w:val="44"/>
          <w:szCs w:val="44"/>
        </w:rPr>
        <w:t>龙岗区第七次全国人口普查“两员”</w:t>
      </w:r>
    </w:p>
    <w:p>
      <w:pPr>
        <w:snapToGrid w:val="0"/>
        <w:spacing w:line="560" w:lineRule="exact"/>
        <w:jc w:val="center"/>
        <w:rPr>
          <w:rFonts w:ascii="宋体" w:hAnsi="宋体" w:cs="宋体"/>
          <w:b/>
          <w:sz w:val="44"/>
          <w:szCs w:val="44"/>
        </w:rPr>
      </w:pPr>
      <w:r>
        <w:rPr>
          <w:rFonts w:hint="eastAsia" w:ascii="宋体" w:hAnsi="宋体" w:cs="宋体"/>
          <w:b/>
          <w:sz w:val="44"/>
          <w:szCs w:val="44"/>
        </w:rPr>
        <w:t>考核管理办法</w:t>
      </w:r>
      <w:bookmarkEnd w:id="5"/>
    </w:p>
    <w:bookmarkEnd w:id="0"/>
    <w:p>
      <w:pPr>
        <w:snapToGrid w:val="0"/>
        <w:spacing w:line="560" w:lineRule="exact"/>
        <w:rPr>
          <w:rFonts w:ascii="仿宋_GB2312" w:hAnsi="仿宋_GB2312" w:eastAsia="仿宋_GB2312" w:cs="仿宋_GB2312"/>
          <w:sz w:val="32"/>
          <w:szCs w:val="32"/>
        </w:rPr>
      </w:pPr>
    </w:p>
    <w:p>
      <w:pPr>
        <w:spacing w:line="560" w:lineRule="exact"/>
        <w:ind w:firstLine="640" w:firstLineChars="200"/>
        <w:rPr>
          <w:sz w:val="32"/>
          <w:szCs w:val="32"/>
        </w:rPr>
      </w:pPr>
      <w:r>
        <w:rPr>
          <w:rFonts w:ascii="仿宋_GB2312" w:hAnsi="宋体" w:eastAsia="仿宋_GB2312" w:cs="仿宋_GB2312"/>
          <w:color w:val="000000"/>
          <w:kern w:val="0"/>
          <w:sz w:val="32"/>
          <w:szCs w:val="32"/>
          <w:lang w:bidi="ar"/>
        </w:rPr>
        <w:t>普查指导员和普查员（以下简称“两员”）是人口普查工作任务的具体承担者，是贯彻执行普查方案的直接责任人，是保证普查数据质量的第一道防线。确保“两员”的数量配备、素质可靠和人员稳定，是人口普查取得成功的坚实基础和重要保证。为顺利开展我区“七人普”工作，</w:t>
      </w:r>
      <w:r>
        <w:rPr>
          <w:rFonts w:hint="eastAsia" w:ascii="仿宋_GB2312" w:hAnsi="仿宋_GB2312" w:eastAsia="仿宋_GB2312" w:cs="仿宋_GB2312"/>
          <w:sz w:val="32"/>
          <w:szCs w:val="32"/>
        </w:rPr>
        <w:t>确保高标准、高质量地完成第七次全国人口普查工作任务，特</w:t>
      </w:r>
      <w:r>
        <w:rPr>
          <w:rFonts w:ascii="仿宋_GB2312" w:hAnsi="宋体" w:eastAsia="仿宋_GB2312" w:cs="仿宋_GB2312"/>
          <w:color w:val="000000"/>
          <w:kern w:val="0"/>
          <w:sz w:val="32"/>
          <w:szCs w:val="32"/>
          <w:lang w:bidi="ar"/>
        </w:rPr>
        <w:t>制定本</w:t>
      </w:r>
      <w:r>
        <w:rPr>
          <w:rFonts w:hint="eastAsia" w:ascii="仿宋_GB2312" w:hAnsi="宋体" w:eastAsia="仿宋_GB2312" w:cs="仿宋_GB2312"/>
          <w:color w:val="000000"/>
          <w:kern w:val="0"/>
          <w:sz w:val="32"/>
          <w:szCs w:val="32"/>
          <w:lang w:bidi="ar"/>
        </w:rPr>
        <w:t>考核</w:t>
      </w:r>
      <w:r>
        <w:rPr>
          <w:rFonts w:ascii="仿宋_GB2312" w:hAnsi="宋体" w:eastAsia="仿宋_GB2312" w:cs="仿宋_GB2312"/>
          <w:color w:val="000000"/>
          <w:kern w:val="0"/>
          <w:sz w:val="32"/>
          <w:szCs w:val="32"/>
          <w:lang w:bidi="ar"/>
        </w:rPr>
        <w:t>管理办法。</w:t>
      </w:r>
    </w:p>
    <w:p>
      <w:pPr>
        <w:spacing w:line="560" w:lineRule="exact"/>
        <w:rPr>
          <w:rFonts w:ascii="黑体" w:hAnsi="黑体" w:eastAsia="黑体" w:cs="黑体"/>
          <w:sz w:val="32"/>
          <w:szCs w:val="32"/>
        </w:rPr>
      </w:pPr>
      <w:r>
        <w:rPr>
          <w:rFonts w:hint="eastAsia" w:ascii="黑体" w:hAnsi="黑体" w:eastAsia="黑体" w:cs="黑体"/>
          <w:color w:val="000000"/>
          <w:kern w:val="0"/>
          <w:sz w:val="32"/>
          <w:szCs w:val="32"/>
          <w:lang w:bidi="ar"/>
        </w:rPr>
        <w:t xml:space="preserve">    一、“两员”管理要求 </w:t>
      </w:r>
    </w:p>
    <w:p>
      <w:pPr>
        <w:spacing w:line="560" w:lineRule="exact"/>
        <w:ind w:firstLine="643" w:firstLineChars="200"/>
        <w:rPr>
          <w:b/>
          <w:bCs/>
          <w:sz w:val="32"/>
          <w:szCs w:val="32"/>
        </w:rPr>
      </w:pPr>
      <w:r>
        <w:rPr>
          <w:rFonts w:ascii="楷体_GB2312" w:hAnsi="宋体" w:eastAsia="楷体_GB2312" w:cs="楷体_GB2312"/>
          <w:b/>
          <w:bCs/>
          <w:color w:val="000000"/>
          <w:kern w:val="0"/>
          <w:sz w:val="32"/>
          <w:szCs w:val="32"/>
          <w:lang w:bidi="ar"/>
        </w:rPr>
        <w:t xml:space="preserve">（一）规范工作纪律 </w:t>
      </w:r>
    </w:p>
    <w:p>
      <w:pPr>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宋体"/>
          <w:sz w:val="32"/>
          <w:szCs w:val="32"/>
        </w:rPr>
        <w:t>1.</w:t>
      </w:r>
      <w:r>
        <w:rPr>
          <w:rFonts w:ascii="仿宋_GB2312" w:hAnsi="宋体" w:eastAsia="仿宋_GB2312" w:cs="仿宋_GB2312"/>
          <w:color w:val="000000"/>
          <w:kern w:val="0"/>
          <w:sz w:val="32"/>
          <w:szCs w:val="32"/>
          <w:lang w:bidi="ar"/>
        </w:rPr>
        <w:t>“两员”</w:t>
      </w:r>
      <w:r>
        <w:rPr>
          <w:rFonts w:hint="eastAsia" w:ascii="仿宋_GB2312" w:hAnsi="宋体" w:eastAsia="仿宋_GB2312" w:cs="宋体"/>
          <w:sz w:val="32"/>
          <w:szCs w:val="32"/>
        </w:rPr>
        <w:t>入户开展普查任务时应主动出示《普查员证》或《普查指导员证》，表明身份。</w:t>
      </w:r>
    </w:p>
    <w:p>
      <w:pPr>
        <w:spacing w:line="560" w:lineRule="exact"/>
        <w:ind w:firstLine="640" w:firstLineChars="200"/>
        <w:rPr>
          <w:sz w:val="32"/>
          <w:szCs w:val="32"/>
        </w:rPr>
      </w:pPr>
      <w:r>
        <w:rPr>
          <w:rFonts w:hint="eastAsia" w:ascii="仿宋_GB2312" w:hAnsi="宋体" w:eastAsia="仿宋_GB2312" w:cs="仿宋_GB2312"/>
          <w:color w:val="000000"/>
          <w:kern w:val="0"/>
          <w:sz w:val="32"/>
          <w:szCs w:val="32"/>
          <w:lang w:bidi="ar"/>
        </w:rPr>
        <w:t>2</w:t>
      </w:r>
      <w:r>
        <w:rPr>
          <w:rFonts w:ascii="仿宋_GB2312" w:hAnsi="宋体" w:eastAsia="仿宋_GB2312" w:cs="仿宋_GB2312"/>
          <w:color w:val="000000"/>
          <w:kern w:val="0"/>
          <w:sz w:val="32"/>
          <w:szCs w:val="32"/>
          <w:lang w:bidi="ar"/>
        </w:rPr>
        <w:t>.“两员”</w:t>
      </w:r>
      <w:r>
        <w:rPr>
          <w:rFonts w:hint="eastAsia" w:ascii="仿宋_GB2312" w:hAnsi="宋体" w:eastAsia="仿宋_GB2312" w:cs="仿宋_GB2312"/>
          <w:color w:val="000000"/>
          <w:kern w:val="0"/>
          <w:sz w:val="32"/>
          <w:szCs w:val="32"/>
          <w:lang w:bidi="ar"/>
        </w:rPr>
        <w:t>要</w:t>
      </w:r>
      <w:r>
        <w:rPr>
          <w:rFonts w:ascii="仿宋_GB2312" w:hAnsi="宋体" w:eastAsia="仿宋_GB2312" w:cs="仿宋_GB2312"/>
          <w:color w:val="000000"/>
          <w:kern w:val="0"/>
          <w:sz w:val="32"/>
          <w:szCs w:val="32"/>
          <w:lang w:bidi="ar"/>
        </w:rPr>
        <w:t xml:space="preserve">定期整理工作日志，妥善保管普查有关资料、文件和电子采集设备。 </w:t>
      </w:r>
    </w:p>
    <w:p>
      <w:pPr>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3.</w:t>
      </w:r>
      <w:r>
        <w:rPr>
          <w:rFonts w:ascii="仿宋_GB2312" w:hAnsi="宋体" w:eastAsia="仿宋_GB2312" w:cs="仿宋_GB2312"/>
          <w:color w:val="000000"/>
          <w:kern w:val="0"/>
          <w:sz w:val="32"/>
          <w:szCs w:val="32"/>
          <w:lang w:bidi="ar"/>
        </w:rPr>
        <w:t>“两员”</w:t>
      </w:r>
      <w:r>
        <w:rPr>
          <w:rFonts w:hint="eastAsia" w:ascii="仿宋_GB2312" w:hAnsi="宋体" w:eastAsia="仿宋_GB2312" w:cs="仿宋_GB2312"/>
          <w:color w:val="000000"/>
          <w:kern w:val="0"/>
          <w:sz w:val="32"/>
          <w:szCs w:val="32"/>
          <w:lang w:bidi="ar"/>
        </w:rPr>
        <w:t>要</w:t>
      </w:r>
      <w:r>
        <w:rPr>
          <w:rFonts w:ascii="仿宋_GB2312" w:hAnsi="宋体" w:eastAsia="仿宋_GB2312" w:cs="仿宋_GB2312"/>
          <w:color w:val="000000"/>
          <w:kern w:val="0"/>
          <w:sz w:val="32"/>
          <w:szCs w:val="32"/>
          <w:lang w:bidi="ar"/>
        </w:rPr>
        <w:t>严格遵守《中华人民共和国统计法》和《全国人口普查条例》的有关规定，</w:t>
      </w:r>
      <w:r>
        <w:rPr>
          <w:rFonts w:hint="eastAsia" w:ascii="仿宋_GB2312" w:hAnsi="宋体" w:eastAsia="仿宋_GB2312" w:cs="仿宋_GB2312"/>
          <w:color w:val="000000"/>
          <w:kern w:val="0"/>
          <w:sz w:val="32"/>
          <w:szCs w:val="32"/>
          <w:lang w:bidi="ar"/>
        </w:rPr>
        <w:t>严禁不入户、严禁抄行政资料、严禁虚增人口等，出现上述行为，除按照有关要求扣除相应普查补贴外，要视违规情况严重程度按相关规定进行严肃处理。</w:t>
      </w:r>
    </w:p>
    <w:p>
      <w:pPr>
        <w:spacing w:line="560" w:lineRule="exact"/>
        <w:ind w:firstLine="640" w:firstLineChars="200"/>
        <w:rPr>
          <w:sz w:val="32"/>
          <w:szCs w:val="32"/>
        </w:rPr>
      </w:pPr>
      <w:r>
        <w:rPr>
          <w:rFonts w:hint="eastAsia" w:ascii="仿宋_GB2312" w:hAnsi="宋体" w:eastAsia="仿宋_GB2312" w:cs="仿宋_GB2312"/>
          <w:color w:val="000000"/>
          <w:kern w:val="0"/>
          <w:sz w:val="32"/>
          <w:szCs w:val="32"/>
          <w:lang w:bidi="ar"/>
        </w:rPr>
        <w:t>4.</w:t>
      </w:r>
      <w:r>
        <w:rPr>
          <w:rFonts w:ascii="仿宋_GB2312" w:hAnsi="宋体" w:eastAsia="仿宋_GB2312" w:cs="仿宋_GB2312"/>
          <w:color w:val="000000"/>
          <w:kern w:val="0"/>
          <w:sz w:val="32"/>
          <w:szCs w:val="32"/>
          <w:lang w:bidi="ar"/>
        </w:rPr>
        <w:t>“两员”</w:t>
      </w:r>
      <w:r>
        <w:rPr>
          <w:rFonts w:hint="eastAsia" w:ascii="仿宋_GB2312" w:hAnsi="宋体" w:eastAsia="仿宋_GB2312" w:cs="仿宋_GB2312"/>
          <w:color w:val="000000"/>
          <w:kern w:val="0"/>
          <w:sz w:val="32"/>
          <w:szCs w:val="32"/>
          <w:lang w:bidi="ar"/>
        </w:rPr>
        <w:t>要</w:t>
      </w:r>
      <w:r>
        <w:rPr>
          <w:rFonts w:ascii="仿宋_GB2312" w:hAnsi="宋体" w:eastAsia="仿宋_GB2312" w:cs="仿宋_GB2312"/>
          <w:color w:val="000000"/>
          <w:kern w:val="0"/>
          <w:sz w:val="32"/>
          <w:szCs w:val="32"/>
          <w:lang w:bidi="ar"/>
        </w:rPr>
        <w:t>对在人口普查中所知悉的能够识别或者推断单个普查对象身份的资料予以保密</w:t>
      </w:r>
      <w:r>
        <w:rPr>
          <w:rFonts w:hint="eastAsia" w:ascii="仿宋_GB2312" w:hAnsi="宋体" w:eastAsia="仿宋_GB2312" w:cs="仿宋_GB2312"/>
          <w:color w:val="000000"/>
          <w:kern w:val="0"/>
          <w:sz w:val="32"/>
          <w:szCs w:val="32"/>
          <w:lang w:bidi="ar"/>
        </w:rPr>
        <w:t>，不得泄密，违反者视情况严重程度按相关规定进行严肃处理</w:t>
      </w:r>
      <w:r>
        <w:rPr>
          <w:rFonts w:ascii="仿宋_GB2312" w:hAnsi="宋体" w:eastAsia="仿宋_GB2312" w:cs="仿宋_GB2312"/>
          <w:color w:val="000000"/>
          <w:kern w:val="0"/>
          <w:sz w:val="32"/>
          <w:szCs w:val="32"/>
          <w:lang w:bidi="ar"/>
        </w:rPr>
        <w:t>。</w:t>
      </w:r>
    </w:p>
    <w:p>
      <w:pPr>
        <w:spacing w:line="560" w:lineRule="exact"/>
        <w:ind w:firstLine="640" w:firstLineChars="200"/>
        <w:rPr>
          <w:sz w:val="32"/>
          <w:szCs w:val="32"/>
        </w:rPr>
      </w:pPr>
      <w:r>
        <w:rPr>
          <w:rFonts w:hint="eastAsia" w:ascii="仿宋_GB2312" w:hAnsi="宋体" w:eastAsia="仿宋_GB2312" w:cs="仿宋_GB2312"/>
          <w:color w:val="000000"/>
          <w:kern w:val="0"/>
          <w:sz w:val="32"/>
          <w:szCs w:val="32"/>
          <w:lang w:bidi="ar"/>
        </w:rPr>
        <w:t>5.</w:t>
      </w:r>
      <w:r>
        <w:rPr>
          <w:rFonts w:ascii="仿宋_GB2312" w:hAnsi="宋体" w:eastAsia="仿宋_GB2312" w:cs="仿宋_GB2312"/>
          <w:color w:val="000000"/>
          <w:kern w:val="0"/>
          <w:sz w:val="32"/>
          <w:szCs w:val="32"/>
          <w:lang w:bidi="ar"/>
        </w:rPr>
        <w:t>“两员”</w:t>
      </w:r>
      <w:r>
        <w:rPr>
          <w:rFonts w:hint="eastAsia" w:ascii="仿宋_GB2312" w:hAnsi="宋体" w:eastAsia="仿宋_GB2312" w:cs="仿宋_GB2312"/>
          <w:color w:val="000000"/>
          <w:kern w:val="0"/>
          <w:sz w:val="32"/>
          <w:szCs w:val="32"/>
          <w:lang w:bidi="ar"/>
        </w:rPr>
        <w:t>要</w:t>
      </w:r>
      <w:r>
        <w:rPr>
          <w:rFonts w:ascii="仿宋_GB2312" w:hAnsi="宋体" w:eastAsia="仿宋_GB2312" w:cs="仿宋_GB2312"/>
          <w:color w:val="000000"/>
          <w:kern w:val="0"/>
          <w:sz w:val="32"/>
          <w:szCs w:val="32"/>
          <w:lang w:bidi="ar"/>
        </w:rPr>
        <w:t xml:space="preserve">做好统计法律法规以及相关保密规定的宣讲工作。 </w:t>
      </w:r>
    </w:p>
    <w:p>
      <w:pPr>
        <w:spacing w:line="560" w:lineRule="exact"/>
        <w:ind w:firstLine="643" w:firstLineChars="200"/>
        <w:rPr>
          <w:rFonts w:ascii="楷体_GB2312" w:hAnsi="宋体" w:eastAsia="楷体_GB2312" w:cs="楷体_GB2312"/>
          <w:b/>
          <w:bCs/>
          <w:color w:val="000000"/>
          <w:kern w:val="0"/>
          <w:sz w:val="32"/>
          <w:szCs w:val="32"/>
          <w:lang w:bidi="ar"/>
        </w:rPr>
      </w:pPr>
      <w:r>
        <w:rPr>
          <w:rFonts w:ascii="楷体_GB2312" w:hAnsi="宋体" w:eastAsia="楷体_GB2312" w:cs="楷体_GB2312"/>
          <w:b/>
          <w:bCs/>
          <w:color w:val="000000"/>
          <w:kern w:val="0"/>
          <w:sz w:val="32"/>
          <w:szCs w:val="32"/>
          <w:lang w:bidi="ar"/>
        </w:rPr>
        <w:t>（二）规范工作行为</w:t>
      </w:r>
    </w:p>
    <w:p>
      <w:pPr>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w:t>
      </w:r>
      <w:r>
        <w:rPr>
          <w:rFonts w:ascii="仿宋_GB2312" w:hAnsi="宋体" w:eastAsia="仿宋_GB2312" w:cs="仿宋_GB2312"/>
          <w:color w:val="000000"/>
          <w:kern w:val="0"/>
          <w:sz w:val="32"/>
          <w:szCs w:val="32"/>
          <w:lang w:bidi="ar"/>
        </w:rPr>
        <w:t>“两员”</w:t>
      </w:r>
      <w:r>
        <w:rPr>
          <w:rFonts w:hint="eastAsia" w:ascii="仿宋_GB2312" w:hAnsi="宋体" w:eastAsia="仿宋_GB2312" w:cs="仿宋_GB2312"/>
          <w:color w:val="000000"/>
          <w:kern w:val="0"/>
          <w:sz w:val="32"/>
          <w:szCs w:val="32"/>
          <w:lang w:bidi="ar"/>
        </w:rPr>
        <w:t>开展</w:t>
      </w:r>
      <w:r>
        <w:rPr>
          <w:rFonts w:ascii="仿宋_GB2312" w:hAnsi="宋体" w:eastAsia="仿宋_GB2312" w:cs="仿宋_GB2312"/>
          <w:color w:val="000000"/>
          <w:kern w:val="0"/>
          <w:sz w:val="32"/>
          <w:szCs w:val="32"/>
          <w:lang w:bidi="ar"/>
        </w:rPr>
        <w:t>普查任务时</w:t>
      </w:r>
      <w:r>
        <w:rPr>
          <w:rFonts w:hint="eastAsia" w:ascii="仿宋_GB2312" w:hAnsi="宋体" w:eastAsia="仿宋_GB2312" w:cs="仿宋_GB2312"/>
          <w:color w:val="000000"/>
          <w:kern w:val="0"/>
          <w:sz w:val="32"/>
          <w:szCs w:val="32"/>
          <w:lang w:bidi="ar"/>
        </w:rPr>
        <w:t>要着装得体、规范，文明用语，让普查对象了解应履行的义务，消除普查对象的后顾之忧和抵触情绪。经耐心解释后，普查对象仍不配合工作，“两员”可报告区、街道人普办协调解决。</w:t>
      </w:r>
    </w:p>
    <w:p>
      <w:pPr>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w:t>
      </w:r>
      <w:r>
        <w:rPr>
          <w:rFonts w:ascii="仿宋_GB2312" w:hAnsi="宋体" w:eastAsia="仿宋_GB2312" w:cs="仿宋_GB2312"/>
          <w:color w:val="000000"/>
          <w:kern w:val="0"/>
          <w:sz w:val="32"/>
          <w:szCs w:val="32"/>
          <w:lang w:bidi="ar"/>
        </w:rPr>
        <w:t>“两员”</w:t>
      </w:r>
      <w:r>
        <w:rPr>
          <w:rFonts w:hint="eastAsia" w:ascii="仿宋_GB2312" w:hAnsi="宋体" w:eastAsia="仿宋_GB2312" w:cs="仿宋_GB2312"/>
          <w:color w:val="000000"/>
          <w:kern w:val="0"/>
          <w:sz w:val="32"/>
          <w:szCs w:val="32"/>
          <w:lang w:bidi="ar"/>
        </w:rPr>
        <w:t>要根据负责区域内的普查对象分布情况，职业特点，制定合理的访问顺序及访问时间，避开普查对象的上班时间，提高入户效率。</w:t>
      </w:r>
    </w:p>
    <w:p>
      <w:pPr>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3.</w:t>
      </w:r>
      <w:r>
        <w:rPr>
          <w:rFonts w:ascii="仿宋_GB2312" w:hAnsi="宋体" w:eastAsia="仿宋_GB2312" w:cs="仿宋_GB2312"/>
          <w:color w:val="000000"/>
          <w:kern w:val="0"/>
          <w:sz w:val="32"/>
          <w:szCs w:val="32"/>
          <w:lang w:bidi="ar"/>
        </w:rPr>
        <w:t>“两员”</w:t>
      </w:r>
      <w:r>
        <w:rPr>
          <w:rFonts w:hint="eastAsia" w:ascii="仿宋_GB2312" w:hAnsi="宋体" w:eastAsia="仿宋_GB2312" w:cs="仿宋_GB2312"/>
          <w:color w:val="000000"/>
          <w:kern w:val="0"/>
          <w:sz w:val="32"/>
          <w:szCs w:val="32"/>
          <w:lang w:bidi="ar"/>
        </w:rPr>
        <w:t>向普查对象询问相关指标时要注意沟通技巧，应表明不会占用较多时间、承诺对数据进行保密且不会作为任何行政处罚的依据等，打消普查对象的担忧及疑虑。</w:t>
      </w:r>
    </w:p>
    <w:p>
      <w:pPr>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4.“</w:t>
      </w:r>
      <w:r>
        <w:rPr>
          <w:rFonts w:ascii="仿宋_GB2312" w:hAnsi="宋体" w:eastAsia="仿宋_GB2312" w:cs="仿宋_GB2312"/>
          <w:color w:val="000000"/>
          <w:kern w:val="0"/>
          <w:sz w:val="32"/>
          <w:szCs w:val="32"/>
          <w:lang w:bidi="ar"/>
        </w:rPr>
        <w:t>两员”</w:t>
      </w:r>
      <w:r>
        <w:rPr>
          <w:rFonts w:hint="eastAsia" w:ascii="仿宋_GB2312" w:hAnsi="宋体" w:eastAsia="仿宋_GB2312" w:cs="仿宋_GB2312"/>
          <w:color w:val="000000"/>
          <w:kern w:val="0"/>
          <w:sz w:val="32"/>
          <w:szCs w:val="32"/>
          <w:lang w:bidi="ar"/>
        </w:rPr>
        <w:t>要注意入户态度及接听电话态度，认真倾听普查对象所咨询的问题并做好记录及时进行答复，对于无法答复的问题，及时向区、街道人普办进行反馈。</w:t>
      </w:r>
    </w:p>
    <w:p>
      <w:pPr>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5.“</w:t>
      </w:r>
      <w:r>
        <w:rPr>
          <w:rFonts w:ascii="仿宋_GB2312" w:hAnsi="宋体" w:eastAsia="仿宋_GB2312" w:cs="仿宋_GB2312"/>
          <w:color w:val="000000"/>
          <w:kern w:val="0"/>
          <w:sz w:val="32"/>
          <w:szCs w:val="32"/>
          <w:lang w:bidi="ar"/>
        </w:rPr>
        <w:t>两员”</w:t>
      </w:r>
      <w:r>
        <w:rPr>
          <w:rFonts w:hint="eastAsia" w:ascii="仿宋_GB2312" w:hAnsi="宋体" w:eastAsia="仿宋_GB2312" w:cs="仿宋_GB2312"/>
          <w:color w:val="000000"/>
          <w:kern w:val="0"/>
          <w:sz w:val="32"/>
          <w:szCs w:val="32"/>
          <w:lang w:bidi="ar"/>
        </w:rPr>
        <w:t>遇到现场或电话投诉，首先应该稳住投诉者情绪，平息投诉者怒气，并尽快解决问题，无法解决的问题，及时反馈给区、街道人普办，投诉处理后及时回复投诉者处理结果。</w:t>
      </w:r>
    </w:p>
    <w:p>
      <w:pPr>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6.对于态度恶劣、明确拒绝接受登记的普查对象，务必保持克制，不得发起冲突，及时反馈区、街道人普办进行处理。</w:t>
      </w:r>
    </w:p>
    <w:p>
      <w:pPr>
        <w:spacing w:line="560" w:lineRule="exact"/>
        <w:ind w:firstLine="643" w:firstLineChars="200"/>
        <w:rPr>
          <w:rFonts w:ascii="楷体_GB2312" w:hAnsi="宋体" w:eastAsia="楷体_GB2312" w:cs="楷体_GB2312"/>
          <w:b/>
          <w:bCs/>
          <w:color w:val="000000"/>
          <w:kern w:val="0"/>
          <w:sz w:val="32"/>
          <w:szCs w:val="32"/>
          <w:lang w:bidi="ar"/>
        </w:rPr>
      </w:pPr>
      <w:r>
        <w:rPr>
          <w:rFonts w:ascii="楷体_GB2312" w:hAnsi="宋体" w:eastAsia="楷体_GB2312" w:cs="楷体_GB2312"/>
          <w:b/>
          <w:bCs/>
          <w:color w:val="000000"/>
          <w:kern w:val="0"/>
          <w:sz w:val="32"/>
          <w:szCs w:val="32"/>
          <w:lang w:bidi="ar"/>
        </w:rPr>
        <w:t xml:space="preserve">（三）规范“两员”管理 </w:t>
      </w:r>
    </w:p>
    <w:p>
      <w:pPr>
        <w:spacing w:line="560" w:lineRule="exact"/>
        <w:ind w:firstLine="640" w:firstLineChars="200"/>
        <w:rPr>
          <w:sz w:val="32"/>
          <w:szCs w:val="32"/>
        </w:rPr>
      </w:pPr>
      <w:r>
        <w:rPr>
          <w:rFonts w:ascii="仿宋_GB2312" w:hAnsi="宋体" w:eastAsia="仿宋_GB2312" w:cs="仿宋_GB2312"/>
          <w:color w:val="000000"/>
          <w:kern w:val="0"/>
          <w:sz w:val="32"/>
          <w:szCs w:val="32"/>
          <w:lang w:bidi="ar"/>
        </w:rPr>
        <w:t>1.</w:t>
      </w:r>
      <w:r>
        <w:rPr>
          <w:rFonts w:hint="eastAsia" w:ascii="仿宋_GB2312" w:hAnsi="宋体" w:eastAsia="仿宋_GB2312" w:cs="仿宋_GB2312"/>
          <w:color w:val="000000"/>
          <w:kern w:val="0"/>
          <w:sz w:val="32"/>
          <w:szCs w:val="32"/>
          <w:lang w:bidi="ar"/>
        </w:rPr>
        <w:t>各街道人普办要</w:t>
      </w:r>
      <w:r>
        <w:rPr>
          <w:rFonts w:ascii="仿宋_GB2312" w:hAnsi="宋体" w:eastAsia="仿宋_GB2312" w:cs="仿宋_GB2312"/>
          <w:color w:val="000000"/>
          <w:kern w:val="0"/>
          <w:sz w:val="32"/>
          <w:szCs w:val="32"/>
          <w:lang w:bidi="ar"/>
        </w:rPr>
        <w:t>及时整理“两员”信息，按上级相关要求做好“两员” 实名注册和信息管理</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要确保“两员”稳定性，如无特殊情况，不能随意更换</w:t>
      </w:r>
      <w:r>
        <w:rPr>
          <w:rFonts w:hint="eastAsia" w:ascii="仿宋_GB2312" w:hAnsi="宋体" w:eastAsia="仿宋_GB2312" w:cs="仿宋_GB2312"/>
          <w:color w:val="000000"/>
          <w:kern w:val="0"/>
          <w:sz w:val="32"/>
          <w:szCs w:val="32"/>
          <w:lang w:bidi="ar"/>
        </w:rPr>
        <w:t>“两员”</w:t>
      </w:r>
      <w:r>
        <w:rPr>
          <w:rFonts w:ascii="仿宋_GB2312" w:hAnsi="宋体" w:eastAsia="仿宋_GB2312" w:cs="仿宋_GB2312"/>
          <w:color w:val="000000"/>
          <w:kern w:val="0"/>
          <w:sz w:val="32"/>
          <w:szCs w:val="32"/>
          <w:lang w:bidi="ar"/>
        </w:rPr>
        <w:t>。如有</w:t>
      </w:r>
      <w:r>
        <w:rPr>
          <w:rFonts w:hint="eastAsia" w:ascii="仿宋_GB2312" w:hAnsi="宋体" w:eastAsia="仿宋_GB2312" w:cs="仿宋_GB2312"/>
          <w:color w:val="000000"/>
          <w:kern w:val="0"/>
          <w:sz w:val="32"/>
          <w:szCs w:val="32"/>
          <w:lang w:bidi="ar"/>
        </w:rPr>
        <w:t>更换</w:t>
      </w:r>
      <w:r>
        <w:rPr>
          <w:rFonts w:ascii="仿宋_GB2312" w:hAnsi="宋体" w:eastAsia="仿宋_GB2312" w:cs="仿宋_GB2312"/>
          <w:color w:val="000000"/>
          <w:kern w:val="0"/>
          <w:sz w:val="32"/>
          <w:szCs w:val="32"/>
          <w:lang w:bidi="ar"/>
        </w:rPr>
        <w:t>应及时做好“两员”补充和培训工作，</w:t>
      </w:r>
      <w:r>
        <w:rPr>
          <w:rFonts w:hint="eastAsia" w:ascii="仿宋_GB2312" w:hAnsi="宋体" w:eastAsia="仿宋_GB2312" w:cs="仿宋_GB2312"/>
          <w:color w:val="000000"/>
          <w:kern w:val="0"/>
          <w:sz w:val="32"/>
          <w:szCs w:val="32"/>
          <w:lang w:bidi="ar"/>
        </w:rPr>
        <w:t>及时上报区人普办备案，</w:t>
      </w:r>
      <w:r>
        <w:rPr>
          <w:rFonts w:ascii="仿宋_GB2312" w:hAnsi="宋体" w:eastAsia="仿宋_GB2312" w:cs="仿宋_GB2312"/>
          <w:color w:val="000000"/>
          <w:kern w:val="0"/>
          <w:sz w:val="32"/>
          <w:szCs w:val="32"/>
          <w:lang w:bidi="ar"/>
        </w:rPr>
        <w:t xml:space="preserve">并在普查管理系统中进行信息更新和任务分配调整工作。 </w:t>
      </w:r>
    </w:p>
    <w:p>
      <w:pPr>
        <w:spacing w:line="560" w:lineRule="exact"/>
        <w:ind w:firstLine="640" w:firstLineChars="200"/>
        <w:rPr>
          <w:sz w:val="32"/>
          <w:szCs w:val="32"/>
        </w:rPr>
      </w:pPr>
      <w:r>
        <w:rPr>
          <w:rFonts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bidi="ar"/>
        </w:rPr>
        <w:t>要</w:t>
      </w:r>
      <w:r>
        <w:rPr>
          <w:rFonts w:ascii="仿宋_GB2312" w:hAnsi="宋体" w:eastAsia="仿宋_GB2312" w:cs="仿宋_GB2312"/>
          <w:color w:val="000000"/>
          <w:kern w:val="0"/>
          <w:sz w:val="32"/>
          <w:szCs w:val="32"/>
          <w:lang w:bidi="ar"/>
        </w:rPr>
        <w:t>加强学习及</w:t>
      </w:r>
      <w:r>
        <w:rPr>
          <w:rFonts w:hint="eastAsia" w:ascii="仿宋_GB2312" w:hAnsi="宋体" w:eastAsia="仿宋_GB2312" w:cs="仿宋_GB2312"/>
          <w:color w:val="000000"/>
          <w:kern w:val="0"/>
          <w:sz w:val="32"/>
          <w:szCs w:val="32"/>
          <w:lang w:bidi="ar"/>
        </w:rPr>
        <w:t>考试</w:t>
      </w:r>
      <w:r>
        <w:rPr>
          <w:rFonts w:ascii="仿宋_GB2312" w:hAnsi="宋体" w:eastAsia="仿宋_GB2312" w:cs="仿宋_GB2312"/>
          <w:color w:val="000000"/>
          <w:kern w:val="0"/>
          <w:sz w:val="32"/>
          <w:szCs w:val="32"/>
          <w:lang w:bidi="ar"/>
        </w:rPr>
        <w:t>管理，及时跟踪记录“两员”</w:t>
      </w:r>
      <w:r>
        <w:rPr>
          <w:rFonts w:hint="eastAsia" w:ascii="仿宋_GB2312" w:hAnsi="宋体" w:eastAsia="仿宋_GB2312" w:cs="仿宋_GB2312"/>
          <w:color w:val="000000"/>
          <w:kern w:val="0"/>
          <w:sz w:val="32"/>
          <w:szCs w:val="32"/>
          <w:lang w:bidi="ar"/>
        </w:rPr>
        <w:t>在线</w:t>
      </w:r>
      <w:r>
        <w:rPr>
          <w:rFonts w:ascii="仿宋_GB2312" w:hAnsi="宋体" w:eastAsia="仿宋_GB2312" w:cs="仿宋_GB2312"/>
          <w:color w:val="000000"/>
          <w:kern w:val="0"/>
          <w:sz w:val="32"/>
          <w:szCs w:val="32"/>
          <w:lang w:bidi="ar"/>
        </w:rPr>
        <w:t>学习、</w:t>
      </w:r>
      <w:r>
        <w:rPr>
          <w:rFonts w:hint="eastAsia" w:ascii="仿宋_GB2312" w:hAnsi="宋体" w:eastAsia="仿宋_GB2312" w:cs="仿宋_GB2312"/>
          <w:color w:val="000000"/>
          <w:kern w:val="0"/>
          <w:sz w:val="32"/>
          <w:szCs w:val="32"/>
          <w:lang w:bidi="ar"/>
        </w:rPr>
        <w:t>考试</w:t>
      </w:r>
      <w:r>
        <w:rPr>
          <w:rFonts w:ascii="仿宋_GB2312" w:hAnsi="宋体" w:eastAsia="仿宋_GB2312" w:cs="仿宋_GB2312"/>
          <w:color w:val="000000"/>
          <w:kern w:val="0"/>
          <w:sz w:val="32"/>
          <w:szCs w:val="32"/>
          <w:lang w:bidi="ar"/>
        </w:rPr>
        <w:t>情况，对学习不及时、</w:t>
      </w:r>
      <w:r>
        <w:rPr>
          <w:rFonts w:hint="eastAsia" w:ascii="仿宋_GB2312" w:hAnsi="宋体" w:eastAsia="仿宋_GB2312" w:cs="仿宋_GB2312"/>
          <w:color w:val="000000"/>
          <w:kern w:val="0"/>
          <w:sz w:val="32"/>
          <w:szCs w:val="32"/>
          <w:lang w:bidi="ar"/>
        </w:rPr>
        <w:t>考试不合格</w:t>
      </w:r>
      <w:r>
        <w:rPr>
          <w:rFonts w:ascii="仿宋_GB2312" w:hAnsi="宋体" w:eastAsia="仿宋_GB2312" w:cs="仿宋_GB2312"/>
          <w:color w:val="000000"/>
          <w:kern w:val="0"/>
          <w:sz w:val="32"/>
          <w:szCs w:val="32"/>
          <w:lang w:bidi="ar"/>
        </w:rPr>
        <w:t>的，应及时敦促其加强学习和重新</w:t>
      </w:r>
      <w:r>
        <w:rPr>
          <w:rFonts w:hint="eastAsia" w:ascii="仿宋_GB2312" w:hAnsi="宋体" w:eastAsia="仿宋_GB2312" w:cs="仿宋_GB2312"/>
          <w:color w:val="000000"/>
          <w:kern w:val="0"/>
          <w:sz w:val="32"/>
          <w:szCs w:val="32"/>
          <w:lang w:bidi="ar"/>
        </w:rPr>
        <w:t>考试，考试合格方可发放证件。</w:t>
      </w:r>
      <w:r>
        <w:rPr>
          <w:rFonts w:ascii="仿宋_GB2312" w:hAnsi="宋体" w:eastAsia="仿宋_GB2312" w:cs="仿宋_GB2312"/>
          <w:color w:val="000000"/>
          <w:kern w:val="0"/>
          <w:sz w:val="32"/>
          <w:szCs w:val="32"/>
          <w:lang w:bidi="ar"/>
        </w:rPr>
        <w:t xml:space="preserve"> </w:t>
      </w:r>
    </w:p>
    <w:p>
      <w:pPr>
        <w:spacing w:line="560" w:lineRule="exact"/>
        <w:ind w:firstLine="640" w:firstLineChars="200"/>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3.</w:t>
      </w:r>
      <w:r>
        <w:rPr>
          <w:rFonts w:hint="eastAsia" w:ascii="仿宋_GB2312" w:hAnsi="宋体" w:eastAsia="仿宋_GB2312" w:cs="仿宋_GB2312"/>
          <w:color w:val="000000"/>
          <w:kern w:val="0"/>
          <w:sz w:val="32"/>
          <w:szCs w:val="32"/>
          <w:lang w:bidi="ar"/>
        </w:rPr>
        <w:t>要</w:t>
      </w:r>
      <w:r>
        <w:rPr>
          <w:rFonts w:ascii="仿宋_GB2312" w:hAnsi="宋体" w:eastAsia="仿宋_GB2312" w:cs="仿宋_GB2312"/>
          <w:color w:val="000000"/>
          <w:kern w:val="0"/>
          <w:sz w:val="32"/>
          <w:szCs w:val="32"/>
          <w:lang w:bidi="ar"/>
        </w:rPr>
        <w:t>严格“两员”权限管理，及时对“两员”进行任务</w:t>
      </w:r>
      <w:r>
        <w:rPr>
          <w:rFonts w:hint="eastAsia" w:ascii="仿宋_GB2312" w:hAnsi="宋体" w:eastAsia="仿宋_GB2312" w:cs="仿宋_GB2312"/>
          <w:color w:val="000000"/>
          <w:kern w:val="0"/>
          <w:sz w:val="32"/>
          <w:szCs w:val="32"/>
          <w:lang w:bidi="ar"/>
        </w:rPr>
        <w:t>和权限的</w:t>
      </w:r>
      <w:r>
        <w:rPr>
          <w:rFonts w:ascii="仿宋_GB2312" w:hAnsi="宋体" w:eastAsia="仿宋_GB2312" w:cs="仿宋_GB2312"/>
          <w:color w:val="000000"/>
          <w:kern w:val="0"/>
          <w:sz w:val="32"/>
          <w:szCs w:val="32"/>
          <w:lang w:bidi="ar"/>
        </w:rPr>
        <w:t xml:space="preserve">分配，并做好登记上报进程监测和管理。建立信息沟通渠道，为“两员”提供在线帮助。 </w:t>
      </w:r>
    </w:p>
    <w:p>
      <w:pPr>
        <w:spacing w:line="560" w:lineRule="exact"/>
        <w:ind w:firstLine="640" w:firstLineChars="200"/>
        <w:rPr>
          <w:sz w:val="32"/>
          <w:szCs w:val="32"/>
        </w:rPr>
      </w:pPr>
      <w:r>
        <w:rPr>
          <w:rFonts w:hint="eastAsia" w:ascii="仿宋_GB2312" w:hAnsi="宋体" w:eastAsia="仿宋_GB2312" w:cs="仿宋_GB2312"/>
          <w:color w:val="000000"/>
          <w:kern w:val="0"/>
          <w:sz w:val="32"/>
          <w:szCs w:val="32"/>
          <w:lang w:bidi="ar"/>
        </w:rPr>
        <w:t>4</w:t>
      </w:r>
      <w:r>
        <w:rPr>
          <w:rFonts w:ascii="仿宋_GB2312" w:hAnsi="宋体" w:eastAsia="仿宋_GB2312" w:cs="仿宋_GB2312"/>
          <w:color w:val="000000"/>
          <w:kern w:val="0"/>
          <w:sz w:val="32"/>
          <w:szCs w:val="32"/>
          <w:lang w:bidi="ar"/>
        </w:rPr>
        <w:t>.“两员”证件由</w:t>
      </w:r>
      <w:r>
        <w:rPr>
          <w:rFonts w:hint="eastAsia" w:ascii="仿宋_GB2312" w:hAnsi="宋体" w:eastAsia="仿宋_GB2312" w:cs="仿宋_GB2312"/>
          <w:color w:val="000000"/>
          <w:kern w:val="0"/>
          <w:sz w:val="32"/>
          <w:szCs w:val="32"/>
          <w:lang w:bidi="ar"/>
        </w:rPr>
        <w:t>上级</w:t>
      </w:r>
      <w:r>
        <w:rPr>
          <w:rFonts w:ascii="仿宋_GB2312" w:hAnsi="宋体" w:eastAsia="仿宋_GB2312" w:cs="仿宋_GB2312"/>
          <w:color w:val="000000"/>
          <w:kern w:val="0"/>
          <w:sz w:val="32"/>
          <w:szCs w:val="32"/>
          <w:lang w:bidi="ar"/>
        </w:rPr>
        <w:t xml:space="preserve">人普办统一颁发，样式由国务院人普办统一制定。“两员”证件只限第七次全国人口普查使用，不得用于其他用途，对非法使用的将依法依规追究相关责任。 </w:t>
      </w:r>
    </w:p>
    <w:p>
      <w:pPr>
        <w:spacing w:line="560" w:lineRule="exact"/>
        <w:ind w:firstLine="640" w:firstLineChars="200"/>
        <w:rPr>
          <w:rFonts w:ascii="黑体" w:hAnsi="黑体" w:eastAsia="黑体" w:cs="黑体"/>
          <w:sz w:val="32"/>
          <w:szCs w:val="32"/>
        </w:rPr>
      </w:pPr>
      <w:r>
        <w:rPr>
          <w:rFonts w:hint="eastAsia" w:ascii="黑体" w:hAnsi="黑体" w:eastAsia="黑体" w:cs="黑体"/>
          <w:color w:val="000000"/>
          <w:kern w:val="0"/>
          <w:sz w:val="32"/>
          <w:szCs w:val="32"/>
          <w:lang w:bidi="ar"/>
        </w:rPr>
        <w:t xml:space="preserve">二、“两员”考核办法 </w:t>
      </w:r>
    </w:p>
    <w:p>
      <w:pPr>
        <w:snapToGrid w:val="0"/>
        <w:spacing w:line="560" w:lineRule="exact"/>
        <w:ind w:firstLine="640" w:firstLineChars="200"/>
        <w:rPr>
          <w:rFonts w:ascii="楷体" w:hAnsi="楷体" w:eastAsia="楷体" w:cs="楷体"/>
          <w:color w:val="000000"/>
          <w:kern w:val="0"/>
          <w:sz w:val="32"/>
          <w:szCs w:val="32"/>
          <w:lang w:bidi="ar"/>
        </w:rPr>
      </w:pPr>
      <w:r>
        <w:rPr>
          <w:rFonts w:hint="eastAsia" w:ascii="仿宋_GB2312" w:hAnsi="仿宋_GB2312" w:eastAsia="仿宋_GB2312" w:cs="仿宋_GB2312"/>
          <w:sz w:val="32"/>
          <w:szCs w:val="32"/>
        </w:rPr>
        <w:t>为确保“两员”管理工作有效推进，区人普办决定对全区“两员”管理工作进行量化考核。其中，区人普办负责考核各街道“两员”管理工作考核，各街道负责对辖区“两员”进行量化考核。</w:t>
      </w:r>
    </w:p>
    <w:p>
      <w:pPr>
        <w:spacing w:line="560" w:lineRule="exact"/>
        <w:ind w:firstLine="643" w:firstLineChars="200"/>
        <w:rPr>
          <w:rFonts w:ascii="楷体_GB2312" w:hAnsi="宋体" w:eastAsia="楷体_GB2312" w:cs="楷体_GB2312"/>
          <w:b/>
          <w:bCs/>
          <w:color w:val="000000"/>
          <w:kern w:val="0"/>
          <w:sz w:val="32"/>
          <w:szCs w:val="32"/>
          <w:lang w:bidi="ar"/>
        </w:rPr>
      </w:pPr>
      <w:r>
        <w:rPr>
          <w:rFonts w:ascii="楷体_GB2312" w:hAnsi="宋体" w:eastAsia="楷体_GB2312" w:cs="楷体_GB2312"/>
          <w:b/>
          <w:bCs/>
          <w:color w:val="000000"/>
          <w:kern w:val="0"/>
          <w:sz w:val="32"/>
          <w:szCs w:val="32"/>
          <w:lang w:bidi="ar"/>
        </w:rPr>
        <w:t>（一）区对街道考核</w:t>
      </w:r>
    </w:p>
    <w:p>
      <w:pPr>
        <w:spacing w:line="560" w:lineRule="exact"/>
        <w:ind w:firstLine="643" w:firstLineChars="200"/>
        <w:rPr>
          <w:rFonts w:ascii="楷体_GB2312" w:hAnsi="宋体" w:eastAsia="楷体_GB2312" w:cs="楷体_GB2312"/>
          <w:b/>
          <w:bCs/>
          <w:color w:val="000000"/>
          <w:kern w:val="0"/>
          <w:sz w:val="32"/>
          <w:szCs w:val="32"/>
          <w:lang w:bidi="ar"/>
        </w:rPr>
      </w:pPr>
      <w:r>
        <w:rPr>
          <w:rFonts w:hint="eastAsia" w:ascii="楷体_GB2312" w:hAnsi="宋体" w:eastAsia="楷体_GB2312" w:cs="楷体_GB2312"/>
          <w:b/>
          <w:bCs/>
          <w:color w:val="000000"/>
          <w:kern w:val="0"/>
          <w:sz w:val="32"/>
          <w:szCs w:val="32"/>
          <w:lang w:bidi="ar"/>
        </w:rPr>
        <w:t>1.</w:t>
      </w:r>
      <w:r>
        <w:rPr>
          <w:rFonts w:ascii="楷体_GB2312" w:hAnsi="宋体" w:eastAsia="楷体_GB2312" w:cs="楷体_GB2312"/>
          <w:b/>
          <w:bCs/>
          <w:color w:val="000000"/>
          <w:kern w:val="0"/>
          <w:sz w:val="32"/>
          <w:szCs w:val="32"/>
          <w:lang w:bidi="ar"/>
        </w:rPr>
        <w:t>被考核对象</w:t>
      </w:r>
    </w:p>
    <w:p>
      <w:pPr>
        <w:spacing w:line="560" w:lineRule="exact"/>
        <w:ind w:firstLine="640" w:firstLineChars="200"/>
        <w:rPr>
          <w:sz w:val="32"/>
          <w:szCs w:val="32"/>
        </w:rPr>
      </w:pPr>
      <w:r>
        <w:rPr>
          <w:rFonts w:ascii="仿宋_GB2312" w:hAnsi="宋体" w:eastAsia="仿宋_GB2312" w:cs="仿宋_GB2312"/>
          <w:color w:val="000000"/>
          <w:kern w:val="0"/>
          <w:sz w:val="32"/>
          <w:szCs w:val="32"/>
          <w:lang w:bidi="ar"/>
        </w:rPr>
        <w:t xml:space="preserve">各街道人普办。 </w:t>
      </w:r>
    </w:p>
    <w:p>
      <w:pPr>
        <w:spacing w:line="560" w:lineRule="exact"/>
        <w:ind w:firstLine="643" w:firstLineChars="200"/>
        <w:rPr>
          <w:rFonts w:ascii="楷体_GB2312" w:hAnsi="宋体" w:eastAsia="楷体_GB2312" w:cs="楷体_GB2312"/>
          <w:b/>
          <w:bCs/>
          <w:color w:val="000000"/>
          <w:kern w:val="0"/>
          <w:sz w:val="32"/>
          <w:szCs w:val="32"/>
          <w:lang w:bidi="ar"/>
        </w:rPr>
      </w:pPr>
      <w:r>
        <w:rPr>
          <w:rFonts w:hint="eastAsia" w:ascii="楷体_GB2312" w:hAnsi="宋体" w:eastAsia="楷体_GB2312" w:cs="楷体_GB2312"/>
          <w:b/>
          <w:bCs/>
          <w:color w:val="000000"/>
          <w:kern w:val="0"/>
          <w:sz w:val="32"/>
          <w:szCs w:val="32"/>
          <w:lang w:bidi="ar"/>
        </w:rPr>
        <w:t xml:space="preserve">2.考核内容和要求 </w:t>
      </w:r>
    </w:p>
    <w:p>
      <w:pPr>
        <w:spacing w:line="560" w:lineRule="exact"/>
        <w:ind w:firstLine="640" w:firstLineChars="200"/>
        <w:rPr>
          <w:sz w:val="32"/>
          <w:szCs w:val="32"/>
        </w:rPr>
      </w:pPr>
      <w:r>
        <w:rPr>
          <w:rFonts w:ascii="仿宋_GB2312" w:hAnsi="宋体" w:eastAsia="仿宋_GB2312" w:cs="仿宋_GB2312"/>
          <w:color w:val="000000"/>
          <w:kern w:val="0"/>
          <w:sz w:val="32"/>
          <w:szCs w:val="32"/>
          <w:lang w:bidi="ar"/>
        </w:rPr>
        <w:t>本次考核内容有</w:t>
      </w:r>
      <w:r>
        <w:rPr>
          <w:rFonts w:hint="eastAsia" w:ascii="仿宋_GB2312" w:hAnsi="宋体" w:eastAsia="仿宋_GB2312" w:cs="仿宋_GB2312"/>
          <w:color w:val="000000"/>
          <w:kern w:val="0"/>
          <w:sz w:val="32"/>
          <w:szCs w:val="32"/>
          <w:lang w:bidi="ar"/>
        </w:rPr>
        <w:t>4</w:t>
      </w:r>
      <w:r>
        <w:rPr>
          <w:rFonts w:ascii="仿宋_GB2312" w:hAnsi="宋体" w:eastAsia="仿宋_GB2312" w:cs="仿宋_GB2312"/>
          <w:color w:val="000000"/>
          <w:kern w:val="0"/>
          <w:sz w:val="32"/>
          <w:szCs w:val="32"/>
          <w:lang w:bidi="ar"/>
        </w:rPr>
        <w:t xml:space="preserve">项内容，具体要求如下： </w:t>
      </w:r>
    </w:p>
    <w:p>
      <w:pPr>
        <w:spacing w:line="560" w:lineRule="exact"/>
        <w:ind w:firstLine="640" w:firstLineChars="200"/>
        <w:rPr>
          <w:sz w:val="32"/>
          <w:szCs w:val="32"/>
        </w:rPr>
      </w:pPr>
      <w:r>
        <w:rPr>
          <w:rFonts w:hint="eastAsia" w:ascii="仿宋_GB2312" w:hAnsi="宋体" w:eastAsia="仿宋_GB2312" w:cs="仿宋_GB2312"/>
          <w:color w:val="000000"/>
          <w:kern w:val="0"/>
          <w:sz w:val="32"/>
          <w:szCs w:val="32"/>
          <w:lang w:bidi="ar"/>
        </w:rPr>
        <w:t>（1）选聘</w:t>
      </w:r>
      <w:r>
        <w:rPr>
          <w:rFonts w:ascii="仿宋_GB2312" w:hAnsi="宋体" w:eastAsia="仿宋_GB2312" w:cs="仿宋_GB2312"/>
          <w:color w:val="000000"/>
          <w:kern w:val="0"/>
          <w:sz w:val="32"/>
          <w:szCs w:val="32"/>
          <w:lang w:bidi="ar"/>
        </w:rPr>
        <w:t xml:space="preserve">“两员”数量要求 </w:t>
      </w:r>
    </w:p>
    <w:p>
      <w:pPr>
        <w:spacing w:line="560" w:lineRule="exact"/>
        <w:ind w:firstLine="640" w:firstLineChars="200"/>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根据国家普查方案和相关工作细则要求，结合我区人口居住密度，原则上一名普查员最多负责2个普查小区（普查小区按80户或250人标准划分）</w:t>
      </w:r>
      <w:r>
        <w:rPr>
          <w:rFonts w:ascii="仿宋_GB2312" w:hAnsi="宋体" w:eastAsia="仿宋_GB2312" w:cs="仿宋_GB2312"/>
          <w:kern w:val="0"/>
          <w:sz w:val="32"/>
          <w:szCs w:val="32"/>
          <w:lang w:bidi="ar"/>
        </w:rPr>
        <w:t>，</w:t>
      </w:r>
      <w:r>
        <w:rPr>
          <w:rFonts w:hint="eastAsia" w:ascii="仿宋_GB2312" w:hAnsi="宋体" w:eastAsia="仿宋_GB2312" w:cs="仿宋_GB2312"/>
          <w:kern w:val="0"/>
          <w:sz w:val="32"/>
          <w:szCs w:val="32"/>
          <w:lang w:bidi="ar"/>
        </w:rPr>
        <w:t>如有个别特殊情况不得超过3个</w:t>
      </w:r>
      <w:r>
        <w:rPr>
          <w:rFonts w:ascii="仿宋_GB2312" w:hAnsi="宋体" w:eastAsia="仿宋_GB2312" w:cs="仿宋_GB2312"/>
          <w:kern w:val="0"/>
          <w:sz w:val="32"/>
          <w:szCs w:val="32"/>
          <w:lang w:bidi="ar"/>
        </w:rPr>
        <w:t>普查小区</w:t>
      </w:r>
      <w:r>
        <w:rPr>
          <w:rFonts w:hint="eastAsia" w:ascii="仿宋_GB2312" w:hAnsi="宋体" w:eastAsia="仿宋_GB2312" w:cs="仿宋_GB2312"/>
          <w:kern w:val="0"/>
          <w:sz w:val="32"/>
          <w:szCs w:val="32"/>
          <w:lang w:bidi="ar"/>
        </w:rPr>
        <w:t>，且需向区人普办说明情况；</w:t>
      </w:r>
      <w:r>
        <w:rPr>
          <w:rFonts w:ascii="仿宋_GB2312" w:hAnsi="宋体" w:eastAsia="仿宋_GB2312" w:cs="仿宋_GB2312"/>
          <w:color w:val="000000"/>
          <w:kern w:val="0"/>
          <w:sz w:val="32"/>
          <w:szCs w:val="32"/>
          <w:lang w:bidi="ar"/>
        </w:rPr>
        <w:t>一名普查指导员最多负责5个普查小区，普查指导员可兼任普查员，另外按5%配备“两员”后备力量。</w:t>
      </w:r>
    </w:p>
    <w:p>
      <w:pPr>
        <w:spacing w:line="560" w:lineRule="exact"/>
        <w:ind w:firstLine="640" w:firstLineChars="200"/>
        <w:rPr>
          <w:sz w:val="32"/>
          <w:szCs w:val="32"/>
        </w:rPr>
      </w:pPr>
      <w:r>
        <w:rPr>
          <w:rFonts w:hint="eastAsia" w:ascii="仿宋_GB2312" w:hAnsi="宋体" w:eastAsia="仿宋_GB2312" w:cs="仿宋_GB2312"/>
          <w:color w:val="000000"/>
          <w:kern w:val="0"/>
          <w:sz w:val="32"/>
          <w:szCs w:val="32"/>
          <w:lang w:bidi="ar"/>
        </w:rPr>
        <w:t>（2）</w:t>
      </w:r>
      <w:r>
        <w:rPr>
          <w:rFonts w:ascii="仿宋_GB2312" w:hAnsi="宋体" w:eastAsia="仿宋_GB2312" w:cs="仿宋_GB2312"/>
          <w:color w:val="000000"/>
          <w:kern w:val="0"/>
          <w:sz w:val="32"/>
          <w:szCs w:val="32"/>
          <w:lang w:bidi="ar"/>
        </w:rPr>
        <w:t xml:space="preserve">“两员”培训要求 </w:t>
      </w:r>
    </w:p>
    <w:p>
      <w:pPr>
        <w:spacing w:line="560" w:lineRule="exact"/>
        <w:ind w:firstLine="640" w:firstLineChars="200"/>
        <w:jc w:val="left"/>
        <w:rPr>
          <w:sz w:val="32"/>
          <w:szCs w:val="32"/>
        </w:rPr>
      </w:pPr>
      <w:r>
        <w:rPr>
          <w:rFonts w:ascii="仿宋_GB2312" w:hAnsi="宋体" w:eastAsia="仿宋_GB2312" w:cs="仿宋_GB2312"/>
          <w:color w:val="000000"/>
          <w:kern w:val="0"/>
          <w:sz w:val="32"/>
          <w:szCs w:val="32"/>
          <w:lang w:bidi="ar"/>
        </w:rPr>
        <w:fldChar w:fldCharType="begin"/>
      </w:r>
      <w:r>
        <w:rPr>
          <w:rFonts w:ascii="仿宋_GB2312" w:hAnsi="宋体" w:eastAsia="仿宋_GB2312" w:cs="仿宋_GB2312"/>
          <w:color w:val="000000"/>
          <w:kern w:val="0"/>
          <w:sz w:val="32"/>
          <w:szCs w:val="32"/>
          <w:lang w:bidi="ar"/>
        </w:rPr>
        <w:instrText xml:space="preserve"> </w:instrText>
      </w:r>
      <w:r>
        <w:rPr>
          <w:rFonts w:hint="eastAsia" w:ascii="仿宋_GB2312" w:hAnsi="宋体" w:eastAsia="仿宋_GB2312" w:cs="仿宋_GB2312"/>
          <w:color w:val="000000"/>
          <w:kern w:val="0"/>
          <w:sz w:val="32"/>
          <w:szCs w:val="32"/>
          <w:lang w:bidi="ar"/>
        </w:rPr>
        <w:instrText xml:space="preserve">= 1 \* GB3</w:instrText>
      </w:r>
      <w:r>
        <w:rPr>
          <w:rFonts w:ascii="仿宋_GB2312" w:hAnsi="宋体" w:eastAsia="仿宋_GB2312" w:cs="仿宋_GB2312"/>
          <w:color w:val="000000"/>
          <w:kern w:val="0"/>
          <w:sz w:val="32"/>
          <w:szCs w:val="32"/>
          <w:lang w:bidi="ar"/>
        </w:rPr>
        <w:instrText xml:space="preserve"> </w:instrText>
      </w:r>
      <w:r>
        <w:rPr>
          <w:rFonts w:ascii="仿宋_GB2312" w:hAnsi="宋体" w:eastAsia="仿宋_GB2312" w:cs="仿宋_GB2312"/>
          <w:color w:val="000000"/>
          <w:kern w:val="0"/>
          <w:sz w:val="32"/>
          <w:szCs w:val="32"/>
          <w:lang w:bidi="ar"/>
        </w:rPr>
        <w:fldChar w:fldCharType="separate"/>
      </w:r>
      <w:r>
        <w:rPr>
          <w:rFonts w:hint="eastAsia" w:ascii="仿宋_GB2312" w:hAnsi="宋体" w:eastAsia="仿宋_GB2312" w:cs="仿宋_GB2312"/>
          <w:color w:val="000000"/>
          <w:kern w:val="0"/>
          <w:sz w:val="32"/>
          <w:szCs w:val="32"/>
          <w:lang w:bidi="ar"/>
        </w:rPr>
        <w:t>①</w:t>
      </w:r>
      <w:r>
        <w:rPr>
          <w:rFonts w:ascii="仿宋_GB2312" w:hAnsi="宋体" w:eastAsia="仿宋_GB2312" w:cs="仿宋_GB2312"/>
          <w:color w:val="000000"/>
          <w:kern w:val="0"/>
          <w:sz w:val="32"/>
          <w:szCs w:val="32"/>
          <w:lang w:bidi="ar"/>
        </w:rPr>
        <w:fldChar w:fldCharType="end"/>
      </w:r>
      <w:r>
        <w:rPr>
          <w:rFonts w:ascii="仿宋_GB2312" w:hAnsi="宋体" w:eastAsia="仿宋_GB2312" w:cs="仿宋_GB2312"/>
          <w:color w:val="000000"/>
          <w:kern w:val="0"/>
          <w:sz w:val="32"/>
          <w:szCs w:val="32"/>
          <w:lang w:bidi="ar"/>
        </w:rPr>
        <w:t xml:space="preserve">培训方式和学时。各街道人普办可采取面授和在线学习的方式对“两员”进行业务培训，明确人员职权、职责和工作任务。普查指导员接受培训时间不少于40学时（含在线学习时间）；普查员接受培训时间不少于24学时（含在线学习时间）。 </w:t>
      </w:r>
    </w:p>
    <w:p>
      <w:pPr>
        <w:spacing w:line="560" w:lineRule="exact"/>
        <w:ind w:firstLine="640" w:firstLineChars="200"/>
        <w:jc w:val="left"/>
        <w:rPr>
          <w:sz w:val="32"/>
          <w:szCs w:val="32"/>
        </w:rPr>
      </w:pPr>
      <w:r>
        <w:rPr>
          <w:rFonts w:ascii="仿宋_GB2312" w:hAnsi="宋体" w:eastAsia="仿宋_GB2312" w:cs="仿宋_GB2312"/>
          <w:color w:val="000000"/>
          <w:kern w:val="0"/>
          <w:sz w:val="32"/>
          <w:szCs w:val="32"/>
          <w:lang w:bidi="ar"/>
        </w:rPr>
        <w:fldChar w:fldCharType="begin"/>
      </w:r>
      <w:r>
        <w:rPr>
          <w:rFonts w:ascii="仿宋_GB2312" w:hAnsi="宋体" w:eastAsia="仿宋_GB2312" w:cs="仿宋_GB2312"/>
          <w:color w:val="000000"/>
          <w:kern w:val="0"/>
          <w:sz w:val="32"/>
          <w:szCs w:val="32"/>
          <w:lang w:bidi="ar"/>
        </w:rPr>
        <w:instrText xml:space="preserve"> </w:instrText>
      </w:r>
      <w:r>
        <w:rPr>
          <w:rFonts w:hint="eastAsia" w:ascii="仿宋_GB2312" w:hAnsi="宋体" w:eastAsia="仿宋_GB2312" w:cs="仿宋_GB2312"/>
          <w:color w:val="000000"/>
          <w:kern w:val="0"/>
          <w:sz w:val="32"/>
          <w:szCs w:val="32"/>
          <w:lang w:bidi="ar"/>
        </w:rPr>
        <w:instrText xml:space="preserve">= 2 \* GB3</w:instrText>
      </w:r>
      <w:r>
        <w:rPr>
          <w:rFonts w:ascii="仿宋_GB2312" w:hAnsi="宋体" w:eastAsia="仿宋_GB2312" w:cs="仿宋_GB2312"/>
          <w:color w:val="000000"/>
          <w:kern w:val="0"/>
          <w:sz w:val="32"/>
          <w:szCs w:val="32"/>
          <w:lang w:bidi="ar"/>
        </w:rPr>
        <w:instrText xml:space="preserve"> </w:instrText>
      </w:r>
      <w:r>
        <w:rPr>
          <w:rFonts w:ascii="仿宋_GB2312" w:hAnsi="宋体" w:eastAsia="仿宋_GB2312" w:cs="仿宋_GB2312"/>
          <w:color w:val="000000"/>
          <w:kern w:val="0"/>
          <w:sz w:val="32"/>
          <w:szCs w:val="32"/>
          <w:lang w:bidi="ar"/>
        </w:rPr>
        <w:fldChar w:fldCharType="separate"/>
      </w:r>
      <w:r>
        <w:rPr>
          <w:rFonts w:hint="eastAsia" w:ascii="仿宋_GB2312" w:hAnsi="宋体" w:eastAsia="仿宋_GB2312" w:cs="仿宋_GB2312"/>
          <w:color w:val="000000"/>
          <w:kern w:val="0"/>
          <w:sz w:val="32"/>
          <w:szCs w:val="32"/>
          <w:lang w:bidi="ar"/>
        </w:rPr>
        <w:t>②</w:t>
      </w:r>
      <w:r>
        <w:rPr>
          <w:rFonts w:ascii="仿宋_GB2312" w:hAnsi="宋体" w:eastAsia="仿宋_GB2312" w:cs="仿宋_GB2312"/>
          <w:color w:val="000000"/>
          <w:kern w:val="0"/>
          <w:sz w:val="32"/>
          <w:szCs w:val="32"/>
          <w:lang w:bidi="ar"/>
        </w:rPr>
        <w:fldChar w:fldCharType="end"/>
      </w:r>
      <w:r>
        <w:rPr>
          <w:rFonts w:ascii="仿宋_GB2312" w:hAnsi="宋体" w:eastAsia="仿宋_GB2312" w:cs="仿宋_GB2312"/>
          <w:color w:val="000000"/>
          <w:kern w:val="0"/>
          <w:sz w:val="32"/>
          <w:szCs w:val="32"/>
          <w:lang w:bidi="ar"/>
        </w:rPr>
        <w:t xml:space="preserve">培训内容。主要围绕“两员”的工作任务和工作职责、电子采集设备使用、普查表填写说明、指标解释、保密规定等进行培训。 </w:t>
      </w:r>
    </w:p>
    <w:p>
      <w:pPr>
        <w:spacing w:line="560" w:lineRule="exact"/>
        <w:ind w:firstLine="640" w:firstLineChars="200"/>
        <w:jc w:val="left"/>
        <w:rPr>
          <w:sz w:val="32"/>
          <w:szCs w:val="32"/>
        </w:rPr>
      </w:pPr>
      <w:r>
        <w:rPr>
          <w:rFonts w:ascii="仿宋" w:hAnsi="仿宋" w:eastAsia="仿宋" w:cs="仿宋"/>
          <w:color w:val="000000"/>
          <w:kern w:val="0"/>
          <w:sz w:val="32"/>
          <w:szCs w:val="32"/>
          <w:lang w:bidi="ar"/>
        </w:rPr>
        <w:fldChar w:fldCharType="begin"/>
      </w:r>
      <w:r>
        <w:rPr>
          <w:rFonts w:ascii="仿宋" w:hAnsi="仿宋" w:eastAsia="仿宋" w:cs="仿宋"/>
          <w:color w:val="000000"/>
          <w:kern w:val="0"/>
          <w:sz w:val="32"/>
          <w:szCs w:val="32"/>
          <w:lang w:bidi="ar"/>
        </w:rPr>
        <w:instrText xml:space="preserve"> </w:instrText>
      </w:r>
      <w:r>
        <w:rPr>
          <w:rFonts w:hint="eastAsia" w:ascii="仿宋" w:hAnsi="仿宋" w:eastAsia="仿宋" w:cs="仿宋"/>
          <w:color w:val="000000"/>
          <w:kern w:val="0"/>
          <w:sz w:val="32"/>
          <w:szCs w:val="32"/>
          <w:lang w:bidi="ar"/>
        </w:rPr>
        <w:instrText xml:space="preserve">= 3 \* GB3</w:instrText>
      </w:r>
      <w:r>
        <w:rPr>
          <w:rFonts w:ascii="仿宋" w:hAnsi="仿宋" w:eastAsia="仿宋" w:cs="仿宋"/>
          <w:color w:val="000000"/>
          <w:kern w:val="0"/>
          <w:sz w:val="32"/>
          <w:szCs w:val="32"/>
          <w:lang w:bidi="ar"/>
        </w:rPr>
        <w:instrText xml:space="preserve"> </w:instrText>
      </w:r>
      <w:r>
        <w:rPr>
          <w:rFonts w:ascii="仿宋" w:hAnsi="仿宋" w:eastAsia="仿宋" w:cs="仿宋"/>
          <w:color w:val="000000"/>
          <w:kern w:val="0"/>
          <w:sz w:val="32"/>
          <w:szCs w:val="32"/>
          <w:lang w:bidi="ar"/>
        </w:rPr>
        <w:fldChar w:fldCharType="separate"/>
      </w:r>
      <w:r>
        <w:rPr>
          <w:rFonts w:hint="eastAsia" w:ascii="仿宋" w:hAnsi="仿宋" w:eastAsia="仿宋" w:cs="仿宋"/>
          <w:color w:val="000000"/>
          <w:kern w:val="0"/>
          <w:sz w:val="32"/>
          <w:szCs w:val="32"/>
          <w:lang w:bidi="ar"/>
        </w:rPr>
        <w:t>③</w:t>
      </w:r>
      <w:r>
        <w:rPr>
          <w:rFonts w:ascii="仿宋" w:hAnsi="仿宋" w:eastAsia="仿宋" w:cs="仿宋"/>
          <w:color w:val="000000"/>
          <w:kern w:val="0"/>
          <w:sz w:val="32"/>
          <w:szCs w:val="32"/>
          <w:lang w:bidi="ar"/>
        </w:rPr>
        <w:fldChar w:fldCharType="end"/>
      </w:r>
      <w:r>
        <w:rPr>
          <w:rFonts w:ascii="仿宋_GB2312" w:hAnsi="宋体" w:eastAsia="仿宋_GB2312" w:cs="仿宋_GB2312"/>
          <w:color w:val="000000"/>
          <w:kern w:val="0"/>
          <w:sz w:val="32"/>
          <w:szCs w:val="32"/>
          <w:lang w:bidi="ar"/>
        </w:rPr>
        <w:t xml:space="preserve">培训考核。培训结束后，须对“两员”进行业务能力测试，经测试合格后方可持证上岗；对测试不合格者应另安排其参加培训学习，提高其业务能力并重新测试，再次测试仍不合格者，取消“两员”资格。 </w:t>
      </w:r>
    </w:p>
    <w:p>
      <w:pPr>
        <w:spacing w:line="560" w:lineRule="exact"/>
        <w:ind w:firstLine="640" w:firstLineChars="200"/>
        <w:jc w:val="left"/>
        <w:rPr>
          <w:sz w:val="32"/>
          <w:szCs w:val="32"/>
        </w:rPr>
      </w:pPr>
      <w:r>
        <w:rPr>
          <w:rFonts w:hint="eastAsia" w:ascii="仿宋_GB2312" w:hAnsi="宋体" w:eastAsia="仿宋_GB2312" w:cs="仿宋_GB2312"/>
          <w:color w:val="000000"/>
          <w:kern w:val="0"/>
          <w:sz w:val="32"/>
          <w:szCs w:val="32"/>
          <w:lang w:bidi="ar"/>
        </w:rPr>
        <w:t>（3）</w:t>
      </w:r>
      <w:r>
        <w:rPr>
          <w:rFonts w:ascii="仿宋_GB2312" w:hAnsi="宋体" w:eastAsia="仿宋_GB2312" w:cs="仿宋_GB2312"/>
          <w:color w:val="000000"/>
          <w:kern w:val="0"/>
          <w:sz w:val="32"/>
          <w:szCs w:val="32"/>
          <w:lang w:bidi="ar"/>
        </w:rPr>
        <w:t xml:space="preserve">“两员”人员稳定性要求 </w:t>
      </w:r>
    </w:p>
    <w:p>
      <w:pPr>
        <w:spacing w:line="560" w:lineRule="exact"/>
        <w:ind w:firstLine="640"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以“两员”在摸底调查、普查登记期间的人员稳定为考核依据，摸底</w:t>
      </w:r>
      <w:r>
        <w:rPr>
          <w:rFonts w:hint="eastAsia" w:ascii="仿宋_GB2312" w:hAnsi="宋体" w:eastAsia="仿宋_GB2312" w:cs="仿宋_GB2312"/>
          <w:color w:val="000000"/>
          <w:kern w:val="0"/>
          <w:sz w:val="32"/>
          <w:szCs w:val="32"/>
          <w:lang w:bidi="ar"/>
        </w:rPr>
        <w:t>登记阶段</w:t>
      </w:r>
      <w:r>
        <w:rPr>
          <w:rFonts w:ascii="仿宋_GB2312" w:hAnsi="宋体" w:eastAsia="仿宋_GB2312" w:cs="仿宋_GB2312"/>
          <w:color w:val="000000"/>
          <w:kern w:val="0"/>
          <w:sz w:val="32"/>
          <w:szCs w:val="32"/>
          <w:lang w:bidi="ar"/>
        </w:rPr>
        <w:t>、普查登记阶段人员稳定</w:t>
      </w:r>
      <w:r>
        <w:rPr>
          <w:rFonts w:hint="eastAsia" w:ascii="仿宋_GB2312" w:hAnsi="宋体" w:eastAsia="仿宋_GB2312" w:cs="仿宋_GB2312"/>
          <w:color w:val="000000"/>
          <w:kern w:val="0"/>
          <w:sz w:val="32"/>
          <w:szCs w:val="32"/>
          <w:lang w:bidi="ar"/>
        </w:rPr>
        <w:t>分别占40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和60%</w:t>
      </w:r>
      <w:r>
        <w:rPr>
          <w:rFonts w:ascii="仿宋_GB2312" w:hAnsi="宋体" w:eastAsia="仿宋_GB2312" w:cs="仿宋_GB2312"/>
          <w:color w:val="000000"/>
          <w:kern w:val="0"/>
          <w:sz w:val="32"/>
          <w:szCs w:val="32"/>
          <w:lang w:bidi="ar"/>
        </w:rPr>
        <w:t>。以每名普查指导员计15分，每名普查员计10分，如出现流失情况，则计算相应的扣减分数，最后算出该街道扣分后的总分，计算稳定率。计算公式如下：“两员”分阶段稳定率=（该街道持证上岗“两员”的总分</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扣减总分）/该街道持证上岗“两员”的总分*100%</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“两员”总稳定率=摸底</w:t>
      </w:r>
      <w:r>
        <w:rPr>
          <w:rFonts w:hint="eastAsia" w:ascii="仿宋_GB2312" w:hAnsi="宋体" w:eastAsia="仿宋_GB2312" w:cs="仿宋_GB2312"/>
          <w:color w:val="000000"/>
          <w:kern w:val="0"/>
          <w:sz w:val="32"/>
          <w:szCs w:val="32"/>
          <w:lang w:bidi="ar"/>
        </w:rPr>
        <w:t>登记阶段</w:t>
      </w:r>
      <w:r>
        <w:rPr>
          <w:rFonts w:ascii="仿宋_GB2312" w:hAnsi="宋体" w:eastAsia="仿宋_GB2312" w:cs="仿宋_GB2312"/>
          <w:color w:val="000000"/>
          <w:kern w:val="0"/>
          <w:sz w:val="32"/>
          <w:szCs w:val="32"/>
          <w:lang w:bidi="ar"/>
        </w:rPr>
        <w:t>“两员”稳定率*40%+</w:t>
      </w:r>
      <w:r>
        <w:rPr>
          <w:rFonts w:hint="eastAsia" w:ascii="仿宋_GB2312" w:hAnsi="宋体" w:eastAsia="仿宋_GB2312" w:cs="仿宋_GB2312"/>
          <w:color w:val="000000"/>
          <w:kern w:val="0"/>
          <w:sz w:val="32"/>
          <w:szCs w:val="32"/>
          <w:lang w:bidi="ar"/>
        </w:rPr>
        <w:t>普查登记</w:t>
      </w:r>
      <w:r>
        <w:rPr>
          <w:rFonts w:ascii="仿宋_GB2312" w:hAnsi="宋体" w:eastAsia="仿宋_GB2312" w:cs="仿宋_GB2312"/>
          <w:color w:val="000000"/>
          <w:kern w:val="0"/>
          <w:sz w:val="32"/>
          <w:szCs w:val="32"/>
          <w:lang w:bidi="ar"/>
        </w:rPr>
        <w:t>阶段“两员</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稳定率*60%。</w:t>
      </w:r>
    </w:p>
    <w:p>
      <w:pPr>
        <w:spacing w:line="560" w:lineRule="exact"/>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（4）</w:t>
      </w:r>
      <w:r>
        <w:rPr>
          <w:rFonts w:ascii="仿宋_GB2312" w:hAnsi="宋体" w:eastAsia="仿宋_GB2312" w:cs="仿宋_GB2312"/>
          <w:color w:val="000000"/>
          <w:kern w:val="0"/>
          <w:sz w:val="32"/>
          <w:szCs w:val="32"/>
          <w:lang w:bidi="ar"/>
        </w:rPr>
        <w:t>“两员”</w:t>
      </w:r>
      <w:r>
        <w:rPr>
          <w:rFonts w:hint="eastAsia" w:ascii="仿宋_GB2312" w:hAnsi="宋体" w:eastAsia="仿宋_GB2312" w:cs="仿宋_GB2312"/>
          <w:color w:val="000000"/>
          <w:kern w:val="0"/>
          <w:sz w:val="32"/>
          <w:szCs w:val="32"/>
          <w:lang w:bidi="ar"/>
        </w:rPr>
        <w:t>考核</w:t>
      </w:r>
      <w:r>
        <w:rPr>
          <w:rFonts w:ascii="仿宋_GB2312" w:hAnsi="宋体" w:eastAsia="仿宋_GB2312" w:cs="仿宋_GB2312"/>
          <w:color w:val="000000"/>
          <w:kern w:val="0"/>
          <w:sz w:val="32"/>
          <w:szCs w:val="32"/>
          <w:lang w:bidi="ar"/>
        </w:rPr>
        <w:t>要求</w:t>
      </w:r>
    </w:p>
    <w:p>
      <w:pPr>
        <w:spacing w:line="560" w:lineRule="exact"/>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各街道要按照《龙岗区第七次全国人口普查“两员”考核管理办法》的要求做好对本街道“两员”的工作量化考核，并及时上报给区人普办。</w:t>
      </w:r>
    </w:p>
    <w:p>
      <w:pPr>
        <w:spacing w:line="560" w:lineRule="exact"/>
        <w:ind w:firstLine="643" w:firstLineChars="200"/>
        <w:jc w:val="left"/>
        <w:rPr>
          <w:rFonts w:ascii="楷体_GB2312" w:hAnsi="宋体" w:eastAsia="楷体_GB2312" w:cs="楷体_GB2312"/>
          <w:b/>
          <w:bCs/>
          <w:color w:val="000000"/>
          <w:kern w:val="0"/>
          <w:sz w:val="32"/>
          <w:szCs w:val="32"/>
          <w:lang w:bidi="ar"/>
        </w:rPr>
      </w:pPr>
      <w:r>
        <w:rPr>
          <w:rFonts w:hint="eastAsia" w:ascii="楷体_GB2312" w:hAnsi="宋体" w:eastAsia="楷体_GB2312" w:cs="楷体_GB2312"/>
          <w:b/>
          <w:bCs/>
          <w:color w:val="000000"/>
          <w:kern w:val="0"/>
          <w:sz w:val="32"/>
          <w:szCs w:val="32"/>
          <w:lang w:bidi="ar"/>
        </w:rPr>
        <w:t>3.</w:t>
      </w:r>
      <w:r>
        <w:rPr>
          <w:rFonts w:ascii="楷体_GB2312" w:hAnsi="宋体" w:eastAsia="楷体_GB2312" w:cs="楷体_GB2312"/>
          <w:b/>
          <w:bCs/>
          <w:color w:val="000000"/>
          <w:kern w:val="0"/>
          <w:sz w:val="32"/>
          <w:szCs w:val="32"/>
          <w:lang w:bidi="ar"/>
        </w:rPr>
        <w:t xml:space="preserve">考核公布和奖惩 </w:t>
      </w:r>
    </w:p>
    <w:p>
      <w:pPr>
        <w:spacing w:line="560" w:lineRule="exact"/>
        <w:ind w:firstLine="640" w:firstLineChars="200"/>
        <w:jc w:val="left"/>
        <w:rPr>
          <w:sz w:val="32"/>
          <w:szCs w:val="32"/>
        </w:rPr>
      </w:pPr>
      <w:r>
        <w:rPr>
          <w:rFonts w:ascii="仿宋_GB2312" w:hAnsi="宋体" w:eastAsia="仿宋_GB2312" w:cs="仿宋_GB2312"/>
          <w:color w:val="000000"/>
          <w:kern w:val="0"/>
          <w:sz w:val="32"/>
          <w:szCs w:val="32"/>
          <w:lang w:bidi="ar"/>
        </w:rPr>
        <w:t>区人普办根据各街道</w:t>
      </w:r>
      <w:r>
        <w:rPr>
          <w:rFonts w:hint="eastAsia" w:ascii="仿宋_GB2312" w:hAnsi="宋体" w:eastAsia="仿宋_GB2312" w:cs="仿宋_GB2312"/>
          <w:color w:val="000000"/>
          <w:kern w:val="0"/>
          <w:sz w:val="32"/>
          <w:szCs w:val="32"/>
          <w:lang w:bidi="ar"/>
        </w:rPr>
        <w:t>“两员”</w:t>
      </w:r>
      <w:r>
        <w:rPr>
          <w:rFonts w:ascii="仿宋_GB2312" w:hAnsi="宋体" w:eastAsia="仿宋_GB2312" w:cs="仿宋_GB2312"/>
          <w:color w:val="000000"/>
          <w:kern w:val="0"/>
          <w:sz w:val="32"/>
          <w:szCs w:val="32"/>
          <w:lang w:bidi="ar"/>
        </w:rPr>
        <w:t>组建、培训</w:t>
      </w:r>
      <w:r>
        <w:rPr>
          <w:rFonts w:hint="eastAsia" w:ascii="仿宋_GB2312" w:hAnsi="宋体" w:eastAsia="仿宋_GB2312" w:cs="仿宋_GB2312"/>
          <w:color w:val="000000"/>
          <w:kern w:val="0"/>
          <w:sz w:val="32"/>
          <w:szCs w:val="32"/>
          <w:lang w:bidi="ar"/>
        </w:rPr>
        <w:t>、“两员”</w:t>
      </w:r>
      <w:r>
        <w:rPr>
          <w:rFonts w:ascii="仿宋_GB2312" w:hAnsi="宋体" w:eastAsia="仿宋_GB2312" w:cs="仿宋_GB2312"/>
          <w:color w:val="000000"/>
          <w:kern w:val="0"/>
          <w:sz w:val="32"/>
          <w:szCs w:val="32"/>
          <w:lang w:bidi="ar"/>
        </w:rPr>
        <w:t>稳定性</w:t>
      </w:r>
      <w:r>
        <w:rPr>
          <w:rFonts w:hint="eastAsia" w:ascii="仿宋_GB2312" w:hAnsi="宋体" w:eastAsia="仿宋_GB2312" w:cs="仿宋_GB2312"/>
          <w:color w:val="000000"/>
          <w:kern w:val="0"/>
          <w:sz w:val="32"/>
          <w:szCs w:val="32"/>
          <w:lang w:bidi="ar"/>
        </w:rPr>
        <w:t>、“两员”考核</w:t>
      </w:r>
      <w:r>
        <w:rPr>
          <w:rFonts w:ascii="仿宋_GB2312" w:hAnsi="宋体" w:eastAsia="仿宋_GB2312" w:cs="仿宋_GB2312"/>
          <w:color w:val="000000"/>
          <w:kern w:val="0"/>
          <w:sz w:val="32"/>
          <w:szCs w:val="32"/>
          <w:lang w:bidi="ar"/>
        </w:rPr>
        <w:t xml:space="preserve">等工作情况适时进行考核通报。 </w:t>
      </w:r>
    </w:p>
    <w:p>
      <w:pPr>
        <w:spacing w:line="560" w:lineRule="exact"/>
        <w:ind w:firstLine="640"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 xml:space="preserve">考核结果作为各街道第七次全国人口普查评先评优的重要依据之一。 </w:t>
      </w:r>
    </w:p>
    <w:p>
      <w:pPr>
        <w:spacing w:line="560" w:lineRule="exact"/>
        <w:ind w:firstLine="643" w:firstLineChars="200"/>
        <w:rPr>
          <w:rFonts w:ascii="楷体_GB2312" w:hAnsi="宋体" w:eastAsia="楷体_GB2312" w:cs="楷体_GB2312"/>
          <w:b/>
          <w:bCs/>
          <w:color w:val="000000"/>
          <w:kern w:val="0"/>
          <w:sz w:val="32"/>
          <w:szCs w:val="32"/>
          <w:lang w:bidi="ar"/>
        </w:rPr>
      </w:pPr>
      <w:r>
        <w:rPr>
          <w:rFonts w:ascii="楷体_GB2312" w:hAnsi="宋体" w:eastAsia="楷体_GB2312" w:cs="楷体_GB2312"/>
          <w:b/>
          <w:bCs/>
          <w:color w:val="000000"/>
          <w:kern w:val="0"/>
          <w:sz w:val="32"/>
          <w:szCs w:val="32"/>
          <w:lang w:bidi="ar"/>
        </w:rPr>
        <w:t>（二）街道对辖区“两员”考核</w:t>
      </w:r>
    </w:p>
    <w:p>
      <w:pPr>
        <w:spacing w:line="560" w:lineRule="exact"/>
        <w:ind w:firstLine="643" w:firstLineChars="200"/>
        <w:rPr>
          <w:rFonts w:ascii="楷体_GB2312" w:hAnsi="宋体" w:eastAsia="楷体_GB2312" w:cs="楷体_GB2312"/>
          <w:b/>
          <w:bCs/>
          <w:color w:val="000000"/>
          <w:kern w:val="0"/>
          <w:sz w:val="32"/>
          <w:szCs w:val="32"/>
          <w:lang w:bidi="ar"/>
        </w:rPr>
      </w:pPr>
      <w:r>
        <w:rPr>
          <w:rFonts w:hint="eastAsia" w:ascii="楷体_GB2312" w:hAnsi="宋体" w:eastAsia="楷体_GB2312" w:cs="楷体_GB2312"/>
          <w:b/>
          <w:bCs/>
          <w:color w:val="000000"/>
          <w:kern w:val="0"/>
          <w:sz w:val="32"/>
          <w:szCs w:val="32"/>
          <w:lang w:bidi="ar"/>
        </w:rPr>
        <w:t>1.</w:t>
      </w:r>
      <w:r>
        <w:rPr>
          <w:rFonts w:ascii="楷体_GB2312" w:hAnsi="宋体" w:eastAsia="楷体_GB2312" w:cs="楷体_GB2312"/>
          <w:b/>
          <w:bCs/>
          <w:color w:val="000000"/>
          <w:kern w:val="0"/>
          <w:sz w:val="32"/>
          <w:szCs w:val="32"/>
          <w:lang w:bidi="ar"/>
        </w:rPr>
        <w:t>被考核对象</w:t>
      </w:r>
    </w:p>
    <w:p>
      <w:pPr>
        <w:spacing w:line="560" w:lineRule="exact"/>
        <w:ind w:firstLine="640" w:firstLineChars="200"/>
        <w:rPr>
          <w:sz w:val="32"/>
          <w:szCs w:val="32"/>
        </w:rPr>
      </w:pPr>
      <w:r>
        <w:rPr>
          <w:rFonts w:hint="eastAsia" w:ascii="仿宋_GB2312" w:hAnsi="宋体" w:eastAsia="仿宋_GB2312" w:cs="仿宋_GB2312"/>
          <w:color w:val="000000"/>
          <w:kern w:val="0"/>
          <w:sz w:val="32"/>
          <w:szCs w:val="32"/>
          <w:lang w:bidi="ar"/>
        </w:rPr>
        <w:t>本</w:t>
      </w:r>
      <w:r>
        <w:rPr>
          <w:rFonts w:ascii="仿宋_GB2312" w:hAnsi="宋体" w:eastAsia="仿宋_GB2312" w:cs="仿宋_GB2312"/>
          <w:color w:val="000000"/>
          <w:kern w:val="0"/>
          <w:sz w:val="32"/>
          <w:szCs w:val="32"/>
          <w:lang w:bidi="ar"/>
        </w:rPr>
        <w:t>街道</w:t>
      </w:r>
      <w:r>
        <w:rPr>
          <w:rFonts w:hint="eastAsia" w:ascii="仿宋_GB2312" w:hAnsi="宋体" w:eastAsia="仿宋_GB2312" w:cs="仿宋_GB2312"/>
          <w:color w:val="000000"/>
          <w:kern w:val="0"/>
          <w:sz w:val="32"/>
          <w:szCs w:val="32"/>
          <w:lang w:bidi="ar"/>
        </w:rPr>
        <w:t>持证上岗的“两员”</w:t>
      </w:r>
      <w:r>
        <w:rPr>
          <w:rFonts w:ascii="仿宋_GB2312" w:hAnsi="宋体" w:eastAsia="仿宋_GB2312" w:cs="仿宋_GB2312"/>
          <w:color w:val="000000"/>
          <w:kern w:val="0"/>
          <w:sz w:val="32"/>
          <w:szCs w:val="32"/>
          <w:lang w:bidi="ar"/>
        </w:rPr>
        <w:t xml:space="preserve">。 </w:t>
      </w:r>
    </w:p>
    <w:p>
      <w:pPr>
        <w:spacing w:line="560" w:lineRule="exact"/>
        <w:ind w:firstLine="643" w:firstLineChars="200"/>
        <w:rPr>
          <w:rFonts w:ascii="楷体_GB2312" w:hAnsi="宋体" w:eastAsia="楷体_GB2312" w:cs="楷体_GB2312"/>
          <w:b/>
          <w:bCs/>
          <w:color w:val="000000"/>
          <w:kern w:val="0"/>
          <w:sz w:val="32"/>
          <w:szCs w:val="32"/>
          <w:lang w:bidi="ar"/>
        </w:rPr>
      </w:pPr>
      <w:r>
        <w:rPr>
          <w:rFonts w:hint="eastAsia" w:ascii="楷体_GB2312" w:hAnsi="宋体" w:eastAsia="楷体_GB2312" w:cs="楷体_GB2312"/>
          <w:b/>
          <w:bCs/>
          <w:color w:val="000000"/>
          <w:kern w:val="0"/>
          <w:sz w:val="32"/>
          <w:szCs w:val="32"/>
          <w:lang w:bidi="ar"/>
        </w:rPr>
        <w:t xml:space="preserve">2.考核内容和要求 </w:t>
      </w:r>
    </w:p>
    <w:p>
      <w:pPr>
        <w:snapToGrid w:val="0"/>
        <w:spacing w:line="560" w:lineRule="exact"/>
        <w:ind w:firstLine="640" w:firstLineChars="200"/>
        <w:rPr>
          <w:rFonts w:ascii="仿宋_GB2312" w:hAnsi="仿宋_GB2312" w:eastAsia="仿宋_GB2312" w:cs="仿宋_GB2312"/>
          <w:sz w:val="32"/>
          <w:szCs w:val="32"/>
        </w:rPr>
      </w:pPr>
      <w:bookmarkStart w:id="1" w:name="OLE_LINK3"/>
      <w:r>
        <w:rPr>
          <w:rFonts w:hint="eastAsia" w:ascii="仿宋_GB2312" w:hAnsi="仿宋_GB2312" w:eastAsia="仿宋_GB2312" w:cs="仿宋_GB2312"/>
          <w:sz w:val="32"/>
          <w:szCs w:val="32"/>
        </w:rPr>
        <w:t>“两员”工作量化考核得分将以普查工作完成进度、质量和规范性三个方面为标准评定，划分为优秀、良好、合格、不合格四个等级，其中分数评定90分以上为优秀（含90，下同），75—90分为良好，60—75分为合格，60分以下为不合格。 具体评分标准详见附件。</w:t>
      </w:r>
    </w:p>
    <w:p>
      <w:pPr>
        <w:spacing w:line="560" w:lineRule="exact"/>
        <w:ind w:firstLine="643" w:firstLineChars="200"/>
        <w:rPr>
          <w:rFonts w:ascii="楷体_GB2312" w:hAnsi="宋体" w:eastAsia="楷体_GB2312" w:cs="楷体_GB2312"/>
          <w:b/>
          <w:bCs/>
          <w:color w:val="000000"/>
          <w:kern w:val="0"/>
          <w:sz w:val="32"/>
          <w:szCs w:val="32"/>
          <w:lang w:bidi="ar"/>
        </w:rPr>
      </w:pPr>
      <w:r>
        <w:rPr>
          <w:rFonts w:hint="eastAsia" w:ascii="楷体_GB2312" w:hAnsi="宋体" w:eastAsia="楷体_GB2312" w:cs="楷体_GB2312"/>
          <w:b/>
          <w:bCs/>
          <w:color w:val="000000"/>
          <w:kern w:val="0"/>
          <w:sz w:val="32"/>
          <w:szCs w:val="32"/>
          <w:lang w:bidi="ar"/>
        </w:rPr>
        <w:t>3.</w:t>
      </w:r>
      <w:r>
        <w:rPr>
          <w:rFonts w:ascii="楷体_GB2312" w:hAnsi="宋体" w:eastAsia="楷体_GB2312" w:cs="楷体_GB2312"/>
          <w:b/>
          <w:bCs/>
          <w:color w:val="000000"/>
          <w:kern w:val="0"/>
          <w:sz w:val="32"/>
          <w:szCs w:val="32"/>
          <w:lang w:bidi="ar"/>
        </w:rPr>
        <w:t>考核公布和奖惩</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宋体" w:eastAsia="仿宋_GB2312" w:cs="仿宋_GB2312"/>
          <w:color w:val="000000"/>
          <w:kern w:val="0"/>
          <w:sz w:val="32"/>
          <w:szCs w:val="32"/>
          <w:lang w:bidi="ar"/>
        </w:rPr>
        <w:t>各街道</w:t>
      </w:r>
      <w:r>
        <w:rPr>
          <w:rFonts w:ascii="仿宋_GB2312" w:hAnsi="宋体" w:eastAsia="仿宋_GB2312" w:cs="仿宋_GB2312"/>
          <w:color w:val="000000"/>
          <w:kern w:val="0"/>
          <w:sz w:val="32"/>
          <w:szCs w:val="32"/>
          <w:lang w:bidi="ar"/>
        </w:rPr>
        <w:t>人普办</w:t>
      </w:r>
      <w:r>
        <w:rPr>
          <w:rFonts w:hint="eastAsia" w:ascii="仿宋_GB2312" w:hAnsi="宋体" w:eastAsia="仿宋_GB2312" w:cs="仿宋_GB2312"/>
          <w:color w:val="000000"/>
          <w:kern w:val="0"/>
          <w:sz w:val="32"/>
          <w:szCs w:val="32"/>
          <w:lang w:bidi="ar"/>
        </w:rPr>
        <w:t>在考核结束后要将考核结果上报区人普办，</w:t>
      </w:r>
      <w:r>
        <w:rPr>
          <w:rFonts w:ascii="仿宋_GB2312" w:hAnsi="宋体" w:eastAsia="仿宋_GB2312" w:cs="仿宋_GB2312"/>
          <w:color w:val="000000"/>
          <w:kern w:val="0"/>
          <w:sz w:val="32"/>
          <w:szCs w:val="32"/>
          <w:lang w:bidi="ar"/>
        </w:rPr>
        <w:t>区人普办根据工作情况适时进行考核通报</w:t>
      </w:r>
      <w:r>
        <w:rPr>
          <w:rFonts w:hint="eastAsia" w:ascii="仿宋_GB2312" w:hAnsi="宋体" w:eastAsia="仿宋_GB2312" w:cs="仿宋_GB2312"/>
          <w:color w:val="000000"/>
          <w:kern w:val="0"/>
          <w:sz w:val="32"/>
          <w:szCs w:val="32"/>
          <w:lang w:bidi="ar"/>
        </w:rPr>
        <w:t>。</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考核评定结果可作为街道发放“两员”入户登记补助的重要依据之一。</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附件：1.龙岗区第七次全国人口普查“两员”工作量化</w:t>
      </w:r>
    </w:p>
    <w:p>
      <w:pPr>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考核评分标准</w:t>
      </w:r>
    </w:p>
    <w:p>
      <w:pPr>
        <w:spacing w:line="56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color w:val="000000"/>
          <w:sz w:val="32"/>
          <w:szCs w:val="32"/>
          <w:lang w:bidi="ar"/>
        </w:rPr>
        <w:t>龙岗区第七次全国人口普查</w:t>
      </w:r>
      <w:r>
        <w:rPr>
          <w:rFonts w:hint="eastAsia" w:ascii="仿宋_GB2312" w:hAnsi="仿宋_GB2312" w:eastAsia="仿宋_GB2312" w:cs="仿宋_GB2312"/>
          <w:sz w:val="32"/>
          <w:szCs w:val="32"/>
          <w:lang w:bidi="ar"/>
        </w:rPr>
        <w:t>“</w:t>
      </w:r>
      <w:r>
        <w:rPr>
          <w:rFonts w:hint="eastAsia" w:ascii="仿宋_GB2312" w:hAnsi="仿宋_GB2312" w:eastAsia="仿宋_GB2312" w:cs="仿宋_GB2312"/>
          <w:color w:val="000000"/>
          <w:sz w:val="32"/>
          <w:szCs w:val="32"/>
          <w:lang w:bidi="ar"/>
        </w:rPr>
        <w:t>两员</w:t>
      </w:r>
      <w:r>
        <w:rPr>
          <w:rFonts w:hint="eastAsia" w:ascii="仿宋_GB2312" w:hAnsi="仿宋_GB2312" w:eastAsia="仿宋_GB2312" w:cs="仿宋_GB2312"/>
          <w:sz w:val="32"/>
          <w:szCs w:val="32"/>
          <w:lang w:bidi="ar"/>
        </w:rPr>
        <w:t>”</w:t>
      </w:r>
      <w:r>
        <w:rPr>
          <w:rFonts w:hint="eastAsia" w:ascii="仿宋_GB2312" w:hAnsi="仿宋_GB2312" w:eastAsia="仿宋_GB2312" w:cs="仿宋_GB2312"/>
          <w:color w:val="000000"/>
          <w:sz w:val="32"/>
          <w:szCs w:val="32"/>
          <w:lang w:bidi="ar"/>
        </w:rPr>
        <w:t>工作量化</w:t>
      </w:r>
    </w:p>
    <w:p>
      <w:pPr>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lang w:bidi="ar"/>
        </w:rPr>
        <w:t>考核表</w:t>
      </w:r>
    </w:p>
    <w:p>
      <w:pPr>
        <w:snapToGrid w:val="0"/>
        <w:spacing w:line="560" w:lineRule="exact"/>
        <w:jc w:val="left"/>
        <w:rPr>
          <w:rFonts w:ascii="黑体" w:hAnsi="黑体" w:eastAsia="黑体" w:cs="黑体"/>
          <w:sz w:val="32"/>
          <w:szCs w:val="32"/>
        </w:rPr>
      </w:pPr>
    </w:p>
    <w:p>
      <w:pPr>
        <w:snapToGrid w:val="0"/>
        <w:spacing w:line="560" w:lineRule="exact"/>
        <w:jc w:val="left"/>
        <w:rPr>
          <w:rFonts w:hint="eastAsia" w:ascii="黑体" w:hAnsi="黑体" w:eastAsia="黑体" w:cs="黑体"/>
          <w:sz w:val="32"/>
          <w:szCs w:val="32"/>
        </w:rPr>
      </w:pPr>
    </w:p>
    <w:p>
      <w:pPr>
        <w:snapToGrid w:val="0"/>
        <w:spacing w:line="560" w:lineRule="exact"/>
        <w:jc w:val="left"/>
        <w:rPr>
          <w:rFonts w:hint="eastAsia" w:ascii="黑体" w:hAnsi="黑体" w:eastAsia="黑体" w:cs="黑体"/>
          <w:sz w:val="32"/>
          <w:szCs w:val="32"/>
        </w:rPr>
      </w:pPr>
    </w:p>
    <w:p>
      <w:pPr>
        <w:snapToGrid w:val="0"/>
        <w:spacing w:line="560" w:lineRule="exact"/>
        <w:jc w:val="left"/>
        <w:rPr>
          <w:rFonts w:hint="eastAsia" w:ascii="黑体" w:hAnsi="黑体" w:eastAsia="黑体" w:cs="黑体"/>
          <w:sz w:val="32"/>
          <w:szCs w:val="32"/>
        </w:rPr>
      </w:pPr>
    </w:p>
    <w:p>
      <w:pPr>
        <w:snapToGrid w:val="0"/>
        <w:spacing w:line="560" w:lineRule="exact"/>
        <w:jc w:val="left"/>
        <w:rPr>
          <w:rFonts w:hint="eastAsia" w:ascii="黑体" w:hAnsi="黑体" w:eastAsia="黑体" w:cs="黑体"/>
          <w:sz w:val="32"/>
          <w:szCs w:val="32"/>
        </w:rPr>
      </w:pPr>
    </w:p>
    <w:p>
      <w:pPr>
        <w:snapToGrid w:val="0"/>
        <w:spacing w:line="560" w:lineRule="exact"/>
        <w:jc w:val="left"/>
        <w:rPr>
          <w:rFonts w:hint="eastAsia" w:ascii="黑体" w:hAnsi="黑体" w:eastAsia="黑体" w:cs="黑体"/>
          <w:sz w:val="32"/>
          <w:szCs w:val="32"/>
        </w:rPr>
      </w:pPr>
    </w:p>
    <w:p>
      <w:pPr>
        <w:snapToGrid w:val="0"/>
        <w:spacing w:line="560" w:lineRule="exact"/>
        <w:jc w:val="left"/>
        <w:rPr>
          <w:rFonts w:hint="eastAsia" w:ascii="黑体" w:hAnsi="黑体" w:eastAsia="黑体" w:cs="黑体"/>
          <w:sz w:val="32"/>
          <w:szCs w:val="32"/>
        </w:rPr>
      </w:pPr>
    </w:p>
    <w:p>
      <w:pPr>
        <w:snapToGrid w:val="0"/>
        <w:spacing w:line="560" w:lineRule="exact"/>
        <w:jc w:val="left"/>
        <w:rPr>
          <w:rFonts w:hint="eastAsia" w:ascii="黑体" w:hAnsi="黑体" w:eastAsia="黑体" w:cs="黑体"/>
          <w:sz w:val="32"/>
          <w:szCs w:val="32"/>
        </w:rPr>
      </w:pPr>
    </w:p>
    <w:p>
      <w:pPr>
        <w:snapToGrid w:val="0"/>
        <w:spacing w:line="560" w:lineRule="exact"/>
        <w:jc w:val="left"/>
        <w:rPr>
          <w:rFonts w:hint="eastAsia" w:ascii="黑体" w:hAnsi="黑体" w:eastAsia="黑体" w:cs="黑体"/>
          <w:sz w:val="32"/>
          <w:szCs w:val="32"/>
        </w:rPr>
      </w:pPr>
    </w:p>
    <w:p>
      <w:pPr>
        <w:snapToGrid w:val="0"/>
        <w:spacing w:line="560" w:lineRule="exact"/>
        <w:jc w:val="left"/>
        <w:rPr>
          <w:rFonts w:hint="eastAsia" w:ascii="黑体" w:hAnsi="黑体" w:eastAsia="黑体" w:cs="黑体"/>
          <w:sz w:val="32"/>
          <w:szCs w:val="32"/>
        </w:rPr>
      </w:pPr>
    </w:p>
    <w:p>
      <w:pPr>
        <w:snapToGrid w:val="0"/>
        <w:spacing w:line="560" w:lineRule="exact"/>
        <w:jc w:val="left"/>
        <w:rPr>
          <w:rFonts w:hint="eastAsia" w:ascii="黑体" w:hAnsi="黑体" w:eastAsia="黑体" w:cs="黑体"/>
          <w:sz w:val="32"/>
          <w:szCs w:val="32"/>
        </w:rPr>
      </w:pPr>
    </w:p>
    <w:p>
      <w:pPr>
        <w:snapToGrid w:val="0"/>
        <w:spacing w:line="560" w:lineRule="exact"/>
        <w:jc w:val="left"/>
        <w:rPr>
          <w:rFonts w:hint="eastAsia" w:ascii="黑体" w:hAnsi="黑体" w:eastAsia="黑体" w:cs="黑体"/>
          <w:sz w:val="32"/>
          <w:szCs w:val="32"/>
        </w:rPr>
      </w:pPr>
    </w:p>
    <w:p>
      <w:pPr>
        <w:pStyle w:val="2"/>
        <w:rPr>
          <w:rFonts w:hint="eastAsia" w:ascii="黑体" w:hAnsi="黑体" w:eastAsia="黑体" w:cs="黑体"/>
          <w:sz w:val="32"/>
          <w:szCs w:val="32"/>
        </w:rPr>
      </w:pPr>
    </w:p>
    <w:p>
      <w:pPr>
        <w:pStyle w:val="3"/>
        <w:rPr>
          <w:rFonts w:hint="eastAsia" w:ascii="黑体" w:hAnsi="黑体" w:eastAsia="黑体" w:cs="黑体"/>
          <w:sz w:val="32"/>
          <w:szCs w:val="32"/>
        </w:rPr>
      </w:pPr>
    </w:p>
    <w:p>
      <w:pPr>
        <w:rPr>
          <w:rFonts w:hint="eastAsia" w:ascii="黑体" w:hAnsi="黑体" w:eastAsia="黑体" w:cs="黑体"/>
          <w:sz w:val="32"/>
          <w:szCs w:val="32"/>
        </w:rPr>
      </w:pPr>
    </w:p>
    <w:p>
      <w:pPr>
        <w:pStyle w:val="2"/>
        <w:rPr>
          <w:rFonts w:hint="eastAsia" w:ascii="黑体" w:hAnsi="黑体" w:eastAsia="黑体" w:cs="黑体"/>
          <w:sz w:val="32"/>
          <w:szCs w:val="32"/>
        </w:rPr>
      </w:pPr>
    </w:p>
    <w:p>
      <w:pPr>
        <w:pStyle w:val="3"/>
        <w:rPr>
          <w:rFonts w:hint="eastAsia" w:ascii="黑体" w:hAnsi="黑体" w:eastAsia="黑体" w:cs="黑体"/>
          <w:sz w:val="32"/>
          <w:szCs w:val="32"/>
        </w:rPr>
      </w:pPr>
    </w:p>
    <w:p>
      <w:pPr>
        <w:rPr>
          <w:rFonts w:hint="eastAsia" w:ascii="黑体" w:hAnsi="黑体" w:eastAsia="黑体" w:cs="黑体"/>
          <w:sz w:val="32"/>
          <w:szCs w:val="32"/>
        </w:rPr>
      </w:pPr>
    </w:p>
    <w:p>
      <w:pPr>
        <w:pStyle w:val="2"/>
        <w:rPr>
          <w:rFonts w:hint="eastAsia"/>
        </w:rPr>
      </w:pPr>
    </w:p>
    <w:p>
      <w:pPr>
        <w:snapToGrid w:val="0"/>
        <w:spacing w:line="560" w:lineRule="exact"/>
        <w:jc w:val="left"/>
        <w:rPr>
          <w:rFonts w:hint="eastAsia" w:ascii="黑体" w:hAnsi="黑体" w:eastAsia="黑体" w:cs="黑体"/>
          <w:sz w:val="32"/>
          <w:szCs w:val="32"/>
        </w:rPr>
      </w:pPr>
    </w:p>
    <w:p>
      <w:pPr>
        <w:snapToGrid w:val="0"/>
        <w:spacing w:line="560" w:lineRule="exact"/>
        <w:jc w:val="left"/>
        <w:rPr>
          <w:rFonts w:ascii="仿宋_GB2312" w:hAnsi="仿宋_GB2312" w:eastAsia="仿宋_GB2312" w:cs="仿宋_GB2312"/>
          <w:sz w:val="32"/>
          <w:szCs w:val="32"/>
        </w:rPr>
      </w:pPr>
      <w:r>
        <w:rPr>
          <w:rFonts w:hint="eastAsia" w:ascii="黑体" w:hAnsi="黑体" w:eastAsia="黑体" w:cs="黑体"/>
          <w:sz w:val="32"/>
          <w:szCs w:val="32"/>
        </w:rPr>
        <w:t>附件1</w:t>
      </w:r>
      <w:r>
        <w:rPr>
          <w:rFonts w:ascii="仿宋_GB2312" w:hAnsi="仿宋_GB2312" w:eastAsia="仿宋_GB2312" w:cs="仿宋_GB2312"/>
          <w:sz w:val="32"/>
          <w:szCs w:val="32"/>
        </w:rPr>
        <w:t xml:space="preserve">  </w:t>
      </w:r>
    </w:p>
    <w:p>
      <w:pPr>
        <w:snapToGrid w:val="0"/>
        <w:spacing w:line="560" w:lineRule="exact"/>
        <w:jc w:val="center"/>
        <w:rPr>
          <w:rFonts w:ascii="仿宋_GB2312" w:hAnsi="仿宋_GB2312" w:eastAsia="仿宋_GB2312" w:cs="仿宋_GB2312"/>
          <w:sz w:val="32"/>
          <w:szCs w:val="32"/>
        </w:rPr>
      </w:pPr>
    </w:p>
    <w:p>
      <w:pPr>
        <w:snapToGrid w:val="0"/>
        <w:spacing w:line="560" w:lineRule="exact"/>
        <w:jc w:val="center"/>
        <w:rPr>
          <w:rFonts w:ascii="宋体" w:hAnsi="宋体" w:cs="宋体"/>
          <w:b/>
          <w:bCs/>
          <w:sz w:val="44"/>
          <w:szCs w:val="44"/>
        </w:rPr>
      </w:pPr>
      <w:r>
        <w:rPr>
          <w:rFonts w:hint="eastAsia" w:ascii="宋体" w:hAnsi="宋体" w:cs="宋体"/>
          <w:b/>
          <w:bCs/>
          <w:sz w:val="44"/>
          <w:szCs w:val="44"/>
        </w:rPr>
        <w:t>龙岗区第七次全国人口普查“两员”工作量化考核评分标准</w:t>
      </w:r>
    </w:p>
    <w:p>
      <w:pPr>
        <w:spacing w:line="560" w:lineRule="exact"/>
        <w:rPr>
          <w:rFonts w:ascii="Times New Roman" w:hAnsi="Times New Roman" w:eastAsia="仿宋_GB2312"/>
          <w:sz w:val="32"/>
          <w:szCs w:val="32"/>
        </w:rPr>
      </w:pPr>
    </w:p>
    <w:bookmarkEnd w:id="1"/>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做好我区“两员”管理工作，各街道要对本街道“两员”工作情况进行量化考核,根据考核得分划分为优秀、良好、合格、不合格四个等级。其中普查指导员各阶段工作考核内容及计分标准，满分为110分，普查员各阶段工作考核内容及计分标准，满分为100分。分数评定90分以上为优秀（含90，下同），75—90分为良好，60—75分为合格，60分以下为不合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普查“两员”在工作期间，出现以下情况之一的，直接评定为不及格：</w:t>
      </w:r>
    </w:p>
    <w:p>
      <w:pPr>
        <w:numPr>
          <w:ilvl w:val="255"/>
          <w:numId w:val="0"/>
        </w:num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ascii="Times New Roman" w:hAnsi="Times New Roman" w:eastAsia="仿宋_GB2312"/>
          <w:sz w:val="32"/>
          <w:szCs w:val="32"/>
        </w:rPr>
        <w:t>未签订保密协议上岗；</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2</w:t>
      </w:r>
      <w:r>
        <w:rPr>
          <w:rFonts w:ascii="Times New Roman" w:hAnsi="Times New Roman" w:eastAsia="仿宋_GB2312"/>
          <w:sz w:val="32"/>
          <w:szCs w:val="32"/>
        </w:rPr>
        <w:t>）未遵守保密规定，泄露普查对象个人信息；</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3</w:t>
      </w:r>
      <w:r>
        <w:rPr>
          <w:rFonts w:ascii="Times New Roman" w:hAnsi="Times New Roman" w:eastAsia="仿宋_GB2312"/>
          <w:sz w:val="32"/>
          <w:szCs w:val="32"/>
        </w:rPr>
        <w:t>）未遵守保密规定，泄露涉密文件和资料；</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4</w:t>
      </w:r>
      <w:r>
        <w:rPr>
          <w:rFonts w:ascii="Times New Roman" w:hAnsi="Times New Roman" w:eastAsia="仿宋_GB2312"/>
          <w:sz w:val="32"/>
          <w:szCs w:val="32"/>
        </w:rPr>
        <w:t>）利用职务之便，行贿受贿；</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5</w:t>
      </w:r>
      <w:r>
        <w:rPr>
          <w:rFonts w:ascii="Times New Roman" w:hAnsi="Times New Roman" w:eastAsia="仿宋_GB2312"/>
          <w:sz w:val="32"/>
          <w:szCs w:val="32"/>
        </w:rPr>
        <w:t>）采用恐吓、威胁等非法手段胁迫普查对象填报；</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6</w:t>
      </w:r>
      <w:r>
        <w:rPr>
          <w:rFonts w:ascii="Times New Roman" w:hAnsi="Times New Roman" w:eastAsia="仿宋_GB2312"/>
          <w:sz w:val="32"/>
          <w:szCs w:val="32"/>
        </w:rPr>
        <w:t>）不按规定入户，照抄行政资料</w:t>
      </w:r>
      <w:r>
        <w:rPr>
          <w:rFonts w:hint="eastAsia" w:ascii="Times New Roman" w:hAnsi="Times New Roman" w:eastAsia="仿宋_GB2312"/>
          <w:sz w:val="32"/>
          <w:szCs w:val="32"/>
        </w:rPr>
        <w:t>、摸底或正式登记时大量使用纸质普查表</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7</w:t>
      </w:r>
      <w:r>
        <w:rPr>
          <w:rFonts w:ascii="Times New Roman" w:hAnsi="Times New Roman" w:eastAsia="仿宋_GB2312"/>
          <w:sz w:val="32"/>
          <w:szCs w:val="32"/>
        </w:rPr>
        <w:t>）弄虚作假、虚报、瞒报普查数据；</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8</w:t>
      </w:r>
      <w:r>
        <w:rPr>
          <w:rFonts w:ascii="Times New Roman" w:hAnsi="Times New Roman" w:eastAsia="仿宋_GB2312"/>
          <w:sz w:val="32"/>
          <w:szCs w:val="32"/>
        </w:rPr>
        <w:t>）不顾个人和集体安危，在危险环境中开展普查，造成安全事故；</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9</w:t>
      </w:r>
      <w:r>
        <w:rPr>
          <w:rFonts w:ascii="Times New Roman" w:hAnsi="Times New Roman" w:eastAsia="仿宋_GB2312"/>
          <w:sz w:val="32"/>
          <w:szCs w:val="32"/>
        </w:rPr>
        <w:t>）不按规定操作代替普查对象</w:t>
      </w:r>
      <w:r>
        <w:rPr>
          <w:rFonts w:hint="eastAsia" w:ascii="Times New Roman" w:hAnsi="Times New Roman" w:eastAsia="仿宋_GB2312"/>
          <w:sz w:val="32"/>
          <w:szCs w:val="32"/>
        </w:rPr>
        <w:t>填报信息。</w:t>
      </w:r>
    </w:p>
    <w:p>
      <w:pPr>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一、普查摸底阶段（普查员25分，指导员20分）</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1.完成普查小区《户主姓名底册》户籍人口、出生和死亡人口的登记。</w:t>
      </w:r>
      <w:bookmarkStart w:id="2" w:name="OLE_LINK4"/>
      <w:r>
        <w:rPr>
          <w:rFonts w:hint="eastAsia" w:ascii="仿宋_GB2312" w:hAnsi="仿宋_GB2312" w:eastAsia="仿宋_GB2312" w:cs="仿宋_GB2312"/>
          <w:sz w:val="32"/>
          <w:szCs w:val="32"/>
        </w:rPr>
        <w:t>完成率根据第七次全国人口普查数据采集处理系统平台端中的普查小区户籍人口、出生和死亡人口的平均完成率计算。平均完成率=（户籍人口完成率+出生人口完成率+死亡人口完成率）/3。（10分）</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评分标准：</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普查小区《户主姓名底册》户籍人口、出生和死亡人口的登记完成率未达到100%的，每降低5%扣2分，扣满10分为止。</w:t>
      </w:r>
    </w:p>
    <w:p>
      <w:pPr>
        <w:tabs>
          <w:tab w:val="left" w:pos="312"/>
        </w:tabs>
        <w:snapToGrid w:val="0"/>
        <w:spacing w:line="560" w:lineRule="exact"/>
        <w:ind w:firstLine="640" w:firstLineChars="200"/>
        <w:rPr>
          <w:rFonts w:ascii="仿宋_GB2312" w:hAnsi="仿宋_GB2312" w:eastAsia="仿宋_GB2312" w:cs="仿宋_GB2312"/>
          <w:sz w:val="32"/>
          <w:szCs w:val="32"/>
        </w:rPr>
      </w:pPr>
      <w:bookmarkStart w:id="3" w:name="OLE_LINK5"/>
      <w:r>
        <w:rPr>
          <w:rFonts w:hint="eastAsia" w:ascii="仿宋_GB2312" w:hAnsi="仿宋_GB2312" w:eastAsia="仿宋_GB2312" w:cs="仿宋_GB2312"/>
          <w:sz w:val="32"/>
          <w:szCs w:val="32"/>
        </w:rPr>
        <w:t>2.普查摸底验收。区人普办在每个普查区中抽取1个普查小区并将抽取的普查小区清单下发到</w:t>
      </w:r>
      <w:bookmarkEnd w:id="3"/>
      <w:r>
        <w:rPr>
          <w:rFonts w:hint="eastAsia" w:ascii="仿宋_GB2312" w:hAnsi="仿宋_GB2312" w:eastAsia="仿宋_GB2312" w:cs="仿宋_GB2312"/>
          <w:sz w:val="32"/>
          <w:szCs w:val="32"/>
        </w:rPr>
        <w:t>各街道。各街道对抽取的普查小区建筑物数量、住房单元数、户籍人口、出生人口和死亡人口登记数据差错率进行质量验收。差错率计算公式为：指标差错率=该指标差错数合计数/该指标抽查数合计数。（10分）</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评分标准：</w:t>
      </w:r>
    </w:p>
    <w:p>
      <w:pPr>
        <w:numPr>
          <w:ilvl w:val="0"/>
          <w:numId w:val="1"/>
        </w:num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建筑物数量出现差错率的，扣2分；</w:t>
      </w:r>
    </w:p>
    <w:p>
      <w:pPr>
        <w:numPr>
          <w:ilvl w:val="0"/>
          <w:numId w:val="1"/>
        </w:num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住房单元数差错率超过2‰的，扣2分；</w:t>
      </w:r>
    </w:p>
    <w:p>
      <w:pPr>
        <w:numPr>
          <w:ilvl w:val="0"/>
          <w:numId w:val="1"/>
        </w:num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户籍人口差错率超过4‰的，扣2分；</w:t>
      </w:r>
    </w:p>
    <w:p>
      <w:pPr>
        <w:numPr>
          <w:ilvl w:val="0"/>
          <w:numId w:val="1"/>
        </w:num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出生人口出现差错率的，扣2分；</w:t>
      </w:r>
    </w:p>
    <w:p>
      <w:pPr>
        <w:numPr>
          <w:ilvl w:val="0"/>
          <w:numId w:val="1"/>
        </w:num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死亡人口出现差错率的，扣2分。</w:t>
      </w:r>
    </w:p>
    <w:p>
      <w:pPr>
        <w:pStyle w:val="2"/>
        <w:tabs>
          <w:tab w:val="left" w:pos="312"/>
        </w:tabs>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3.执行方案情况：“两员”必须严格按照《</w:t>
      </w:r>
      <w:r>
        <w:rPr>
          <w:rFonts w:hint="eastAsia" w:ascii="仿宋_GB2312" w:hAnsi="仿宋_GB2312" w:eastAsia="仿宋_GB2312" w:cs="仿宋_GB2312"/>
          <w:color w:val="000000"/>
          <w:sz w:val="32"/>
          <w:szCs w:val="32"/>
        </w:rPr>
        <w:t>户主姓名底册</w:t>
      </w:r>
      <w:r>
        <w:rPr>
          <w:rFonts w:hint="eastAsia" w:ascii="仿宋_GB2312" w:hAnsi="仿宋_GB2312" w:eastAsia="仿宋_GB2312" w:cs="仿宋_GB2312"/>
          <w:sz w:val="32"/>
          <w:szCs w:val="32"/>
        </w:rPr>
        <w:t>》编制方法，根据实地勘察情况，进行房屋编号、填写人口资料。对于全户外出半年以上、全户寄挂户口、全户港澳台和外籍人员等有特殊情况的住户，必须在《</w:t>
      </w:r>
      <w:r>
        <w:rPr>
          <w:rFonts w:hint="eastAsia" w:ascii="仿宋_GB2312" w:hAnsi="仿宋_GB2312" w:eastAsia="仿宋_GB2312" w:cs="仿宋_GB2312"/>
          <w:color w:val="000000"/>
          <w:sz w:val="32"/>
          <w:szCs w:val="32"/>
        </w:rPr>
        <w:t>户主姓名</w:t>
      </w:r>
      <w:r>
        <w:rPr>
          <w:rFonts w:hint="eastAsia" w:ascii="仿宋_GB2312" w:hAnsi="仿宋_GB2312" w:eastAsia="仿宋_GB2312" w:cs="仿宋_GB2312"/>
          <w:sz w:val="32"/>
          <w:szCs w:val="32"/>
        </w:rPr>
        <w:t>底册》的备注栏中注明情况。对初步完成的《</w:t>
      </w:r>
      <w:r>
        <w:rPr>
          <w:rFonts w:hint="eastAsia" w:ascii="仿宋_GB2312" w:hAnsi="仿宋_GB2312" w:eastAsia="仿宋_GB2312" w:cs="仿宋_GB2312"/>
          <w:color w:val="000000"/>
          <w:sz w:val="32"/>
          <w:szCs w:val="32"/>
        </w:rPr>
        <w:t>户主姓名底册</w:t>
      </w:r>
      <w:r>
        <w:rPr>
          <w:rFonts w:hint="eastAsia" w:ascii="仿宋_GB2312" w:hAnsi="仿宋_GB2312" w:eastAsia="仿宋_GB2312" w:cs="仿宋_GB2312"/>
          <w:sz w:val="32"/>
          <w:szCs w:val="32"/>
        </w:rPr>
        <w:t>》进行自检，参考本普查小区的户籍人口数，主要检查是否有漏登人口的情况，尤其检查出生、死亡人口数。（5分）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评分标准：</w:t>
      </w:r>
    </w:p>
    <w:p>
      <w:pPr>
        <w:numPr>
          <w:ilvl w:val="0"/>
          <w:numId w:val="2"/>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未严格按照规定编制《</w:t>
      </w:r>
      <w:r>
        <w:rPr>
          <w:rFonts w:hint="eastAsia" w:ascii="仿宋_GB2312" w:hAnsi="仿宋_GB2312" w:eastAsia="仿宋_GB2312" w:cs="仿宋_GB2312"/>
          <w:color w:val="000000"/>
          <w:sz w:val="32"/>
          <w:szCs w:val="32"/>
        </w:rPr>
        <w:t>户主姓名底册</w:t>
      </w:r>
      <w:r>
        <w:rPr>
          <w:rFonts w:hint="eastAsia" w:ascii="仿宋_GB2312" w:hAnsi="仿宋_GB2312" w:eastAsia="仿宋_GB2312" w:cs="仿宋_GB2312"/>
          <w:sz w:val="32"/>
          <w:szCs w:val="32"/>
        </w:rPr>
        <w:t>》，特殊情况的住户没有进行备注的，漏登、错登的，错一户扣1分，扣满3分为止；</w:t>
      </w:r>
    </w:p>
    <w:p>
      <w:pPr>
        <w:numPr>
          <w:ilvl w:val="0"/>
          <w:numId w:val="2"/>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检查不认真，出现登记错误的，扣2分。</w:t>
      </w:r>
    </w:p>
    <w:p>
      <w:pPr>
        <w:snapToGrid w:val="0"/>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4.普查指导员每日须认真检查普查员的</w:t>
      </w:r>
      <w:bookmarkStart w:id="4" w:name="OLE_LINK2"/>
      <w:r>
        <w:rPr>
          <w:rFonts w:hint="eastAsia" w:ascii="仿宋_GB2312" w:hAnsi="宋体" w:eastAsia="仿宋_GB2312" w:cs="仿宋_GB2312"/>
          <w:color w:val="000000"/>
          <w:kern w:val="0"/>
          <w:sz w:val="32"/>
          <w:szCs w:val="32"/>
          <w:lang w:bidi="ar"/>
        </w:rPr>
        <w:t>《户主姓名底册》</w:t>
      </w:r>
      <w:bookmarkEnd w:id="4"/>
      <w:r>
        <w:rPr>
          <w:rFonts w:hint="eastAsia" w:ascii="仿宋_GB2312" w:hAnsi="宋体" w:eastAsia="仿宋_GB2312" w:cs="仿宋_GB2312"/>
          <w:color w:val="000000"/>
          <w:kern w:val="0"/>
          <w:sz w:val="32"/>
          <w:szCs w:val="32"/>
          <w:lang w:bidi="ar"/>
        </w:rPr>
        <w:t xml:space="preserve">，如有项目填写错误的应退还普查员重新登记。若因指导员检查不认真而存在登记错误，严重影响摸底工作质量的，一经查出，严肃处理。（如：检查普查员是否按要求询问住户自主填报的意愿，是否及时提供自主填报的账号信息，并讲解注意事项。）（5分） </w:t>
      </w:r>
    </w:p>
    <w:p>
      <w:pPr>
        <w:pStyle w:val="12"/>
        <w:spacing w:line="560" w:lineRule="exact"/>
        <w:ind w:firstLine="64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评分标准：</w:t>
      </w:r>
    </w:p>
    <w:p>
      <w:pPr>
        <w:pStyle w:val="12"/>
        <w:snapToGrid w:val="0"/>
        <w:spacing w:line="560" w:lineRule="exact"/>
        <w:ind w:firstLine="64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未按规定对《户主姓名底册》进行检查，或检查不认真，出现登记错误的，扣5分。</w:t>
      </w:r>
    </w:p>
    <w:bookmarkEnd w:id="2"/>
    <w:p>
      <w:pPr>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二、普查登记阶段（普查员25分，指导员30分）</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完成普查小区登记人口、户籍人口、出生和死亡人口的普查表登记。登记完成率根据第七次全国人口普查数据采集处理系统平台端中的普查小区登记人口、户籍人口、出生和死亡人口的平均完成率计算。平均完成率=（登记人口完成率+户籍人口完成率+出生人口完成率+死亡人口完成率）/4。（10分）</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评分标准：</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普查小区登记人口、户籍人口、出生和死亡人口的普查表登记完成率未达到100%的，每降低5%扣2分，扣满10分为止。</w:t>
      </w:r>
    </w:p>
    <w:p>
      <w:pPr>
        <w:tabs>
          <w:tab w:val="left" w:pos="312"/>
        </w:tabs>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普查短表登记验收。区人普办在每个普查区中抽取1个普查小区并将抽取的普查小区清单下发到各街道。各街道对抽取的普查小区登记人口、户籍人口、出生人口和死亡人口登记数据差错率进行质量验收。差错率计算公式为：指标差错率=该指标差错数合计数/该指标抽查数合计数。（10分）</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评分标准：</w:t>
      </w:r>
    </w:p>
    <w:p>
      <w:pPr>
        <w:numPr>
          <w:ilvl w:val="0"/>
          <w:numId w:val="3"/>
        </w:num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登记人口差错率超过4‰的，扣3分；</w:t>
      </w:r>
    </w:p>
    <w:p>
      <w:pPr>
        <w:numPr>
          <w:ilvl w:val="0"/>
          <w:numId w:val="3"/>
        </w:num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户籍人口差错率超过4‰的，扣3分；</w:t>
      </w:r>
    </w:p>
    <w:p>
      <w:pPr>
        <w:numPr>
          <w:ilvl w:val="0"/>
          <w:numId w:val="3"/>
        </w:num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出生人口出现差错率的，扣2分；</w:t>
      </w:r>
    </w:p>
    <w:p>
      <w:pPr>
        <w:numPr>
          <w:ilvl w:val="0"/>
          <w:numId w:val="3"/>
        </w:num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死亡人口出现差错率的，扣2分。</w:t>
      </w:r>
    </w:p>
    <w:p>
      <w:pPr>
        <w:tabs>
          <w:tab w:val="left" w:pos="312"/>
        </w:tabs>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执行方案情况：“两员”登记时，要与《户主姓名底册》所列的信息进行核对。如出现空户、多户等不一致的情况，应认真核查，据实登记。并严格按照《普查登记工作细则》和《比对复查工作细则》的要求，在《户主姓名底册》上注明。加强审核，利用行政记录和摸底数据对自主填报数据进行审核，保证上报数据质量。（5分）</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评分标准：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未按要求对《户主姓名底册》所列的信息进行核对，出现登记资料与摸底信息不一致的情况，而未在《户主姓名底册》上注明，错一户扣1分，扣满5分为止。</w:t>
      </w:r>
    </w:p>
    <w:p>
      <w:pPr>
        <w:tabs>
          <w:tab w:val="left" w:pos="312"/>
        </w:tabs>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普查指导员必须每日检查各普查员上报的普查数据，对普查登记数据内部、普查登记数据与其他行政记录资料之间进行一致性和完整性的检验，查找人口错登、漏登问题。如有普查登记数据内部存在逻辑差错，责令普查员重新入户登记，据实改正。若因指导员检查不认真而存在数据错误，严重影响登记工作质量的，一经发现，严肃处理。（5分）</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评分标准：</w:t>
      </w:r>
    </w:p>
    <w:p>
      <w:pPr>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未按“人工逻辑规则”核实普查表，出现重登、漏登、或逻辑错误的，错1人扣1分，扣满5分为止。</w:t>
      </w:r>
    </w:p>
    <w:p>
      <w:pPr>
        <w:pStyle w:val="12"/>
        <w:numPr>
          <w:ilvl w:val="0"/>
          <w:numId w:val="0"/>
        </w:numPr>
        <w:snapToGrid w:val="0"/>
        <w:spacing w:line="560" w:lineRule="exact"/>
        <w:ind w:left="640" w:leftChars="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比对复查阶段(20分）</w:t>
      </w:r>
    </w:p>
    <w:p>
      <w:pPr>
        <w:pStyle w:val="12"/>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1.比对复查开展情况：“两员”对上级普查机构反馈的结果进行查疑补漏，确保登记真实、不重不漏。及时接收上级普查结构反馈的比对复查结果，并按照《比对复查工作细则》的要求进行普查数据复查工作。</w:t>
      </w:r>
      <w:r>
        <w:rPr>
          <w:rFonts w:hint="eastAsia" w:ascii="仿宋_GB2312" w:hAnsi="仿宋_GB2312" w:eastAsia="仿宋_GB2312" w:cs="仿宋_GB2312"/>
          <w:spacing w:val="-4"/>
          <w:sz w:val="32"/>
          <w:szCs w:val="32"/>
        </w:rPr>
        <w:t>对普查登记数据中存在的逻辑问题和通过比对部门行政记录资料发现的人口漏报问题进行重新核查并上报。核查工作主要包括：</w:t>
      </w:r>
      <w:r>
        <w:rPr>
          <w:rFonts w:hint="eastAsia" w:ascii="仿宋_GB2312" w:hAnsi="仿宋_GB2312" w:eastAsia="仿宋_GB2312" w:cs="仿宋_GB2312"/>
          <w:sz w:val="32"/>
          <w:szCs w:val="32"/>
        </w:rPr>
        <w:t>登记数据</w:t>
      </w:r>
      <w:r>
        <w:rPr>
          <w:rFonts w:hint="eastAsia" w:ascii="仿宋_GB2312" w:hAnsi="仿宋_GB2312" w:eastAsia="仿宋_GB2312" w:cs="仿宋_GB2312"/>
          <w:spacing w:val="-4"/>
          <w:sz w:val="32"/>
          <w:szCs w:val="32"/>
        </w:rPr>
        <w:t>内部逻辑问题的整理、户籍人口漏报错填问题的整理、低龄人口漏报错填问题的整理。</w:t>
      </w:r>
      <w:r>
        <w:rPr>
          <w:rFonts w:hint="eastAsia" w:ascii="仿宋_GB2312" w:hAnsi="仿宋_GB2312" w:eastAsia="仿宋_GB2312" w:cs="仿宋_GB2312"/>
          <w:sz w:val="32"/>
          <w:szCs w:val="32"/>
        </w:rPr>
        <w:t>对复查中发现的差错或疑问，须再次核实的，要主动联系调查对象，并及时更正。（10分）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评分标准：</w:t>
      </w:r>
    </w:p>
    <w:p>
      <w:pPr>
        <w:numPr>
          <w:ilvl w:val="0"/>
          <w:numId w:val="4"/>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“两员”未按规定参与普查表复查的，扣2分；</w:t>
      </w:r>
    </w:p>
    <w:p>
      <w:pPr>
        <w:numPr>
          <w:ilvl w:val="0"/>
          <w:numId w:val="4"/>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复查中发现错误，不及时更正的，错一个人扣4分。</w:t>
      </w:r>
    </w:p>
    <w:p>
      <w:pPr>
        <w:tabs>
          <w:tab w:val="left" w:pos="312"/>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2.抽样核实：各街道根据“两员”反馈的比对复查结果抽取一定比例的住户，进行抽样核查。内容包括“两员”入户是否规范、是否按照规范进行普查表询问填写、核对普查表填写是否准确。（10分）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评分标准：</w:t>
      </w:r>
    </w:p>
    <w:p>
      <w:pPr>
        <w:numPr>
          <w:ilvl w:val="0"/>
          <w:numId w:val="5"/>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“两员”未按规定入户的，扣3分；</w:t>
      </w:r>
    </w:p>
    <w:p>
      <w:pPr>
        <w:numPr>
          <w:ilvl w:val="0"/>
          <w:numId w:val="5"/>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“两员”未按照规范进行普查表询问填写的，扣3分；</w:t>
      </w:r>
    </w:p>
    <w:p>
      <w:pPr>
        <w:numPr>
          <w:ilvl w:val="0"/>
          <w:numId w:val="5"/>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普查表内容填写或核实情况与实际不符的，扣4分。</w:t>
      </w:r>
    </w:p>
    <w:p>
      <w:pPr>
        <w:numPr>
          <w:ilvl w:val="0"/>
          <w:numId w:val="0"/>
        </w:numPr>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两员行为规范(20分）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评分标准：</w:t>
      </w:r>
    </w:p>
    <w:p>
      <w:pPr>
        <w:numPr>
          <w:ilvl w:val="255"/>
          <w:numId w:val="0"/>
        </w:num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未着工作服、未佩戴工作证件上岗</w:t>
      </w:r>
      <w:r>
        <w:rPr>
          <w:rFonts w:hint="eastAsia" w:ascii="Times New Roman" w:hAnsi="Times New Roman" w:eastAsia="仿宋_GB2312"/>
          <w:sz w:val="32"/>
          <w:szCs w:val="32"/>
        </w:rPr>
        <w:t>的，扣2分</w:t>
      </w:r>
      <w:r>
        <w:rPr>
          <w:rFonts w:ascii="Times New Roman" w:hAnsi="Times New Roman" w:eastAsia="仿宋_GB2312"/>
          <w:sz w:val="32"/>
          <w:szCs w:val="32"/>
        </w:rPr>
        <w:t>；</w:t>
      </w:r>
    </w:p>
    <w:p>
      <w:pPr>
        <w:numPr>
          <w:ilvl w:val="255"/>
          <w:numId w:val="0"/>
        </w:numPr>
        <w:spacing w:line="56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（2）不听从安排开展普查工作的，扣6分；</w:t>
      </w:r>
    </w:p>
    <w:p>
      <w:pPr>
        <w:numPr>
          <w:ilvl w:val="255"/>
          <w:numId w:val="0"/>
        </w:num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（3）入户时询问住户与普查内容无关的个人信息的，扣3分；</w:t>
      </w:r>
    </w:p>
    <w:p>
      <w:pPr>
        <w:numPr>
          <w:ilvl w:val="255"/>
          <w:numId w:val="0"/>
        </w:num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（4）普查数据超过两天未上报的，扣3分；</w:t>
      </w:r>
    </w:p>
    <w:p>
      <w:pPr>
        <w:numPr>
          <w:ilvl w:val="255"/>
          <w:numId w:val="0"/>
        </w:num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（5）入户时出现特殊情况不及时上报造成不良影响的，指导员发现普查员违反普查方案的行为不及时上报的，扣6分。</w:t>
      </w:r>
    </w:p>
    <w:p>
      <w:pPr>
        <w:numPr>
          <w:ilvl w:val="0"/>
          <w:numId w:val="0"/>
        </w:numPr>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街道评价(10分）</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各街道根据实际工作情况，对普查期间“两员”工作的情况做总体评价。</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评分标准：</w:t>
      </w:r>
    </w:p>
    <w:p>
      <w:pPr>
        <w:numPr>
          <w:ilvl w:val="255"/>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最高10分，最低0分。</w:t>
      </w:r>
    </w:p>
    <w:p>
      <w:pPr>
        <w:snapToGrid w:val="0"/>
        <w:spacing w:line="560" w:lineRule="exact"/>
        <w:jc w:val="right"/>
        <w:rPr>
          <w:rFonts w:ascii="仿宋_GB2312" w:hAnsi="仿宋_GB2312" w:eastAsia="仿宋_GB2312" w:cs="仿宋_GB2312"/>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sectPr>
          <w:headerReference r:id="rId3" w:type="default"/>
          <w:footerReference r:id="rId4" w:type="default"/>
          <w:pgSz w:w="11850" w:h="16783"/>
          <w:pgMar w:top="1058" w:right="1863" w:bottom="1612" w:left="1587" w:header="851" w:footer="1361" w:gutter="0"/>
          <w:pgNumType w:fmt="numberInDash"/>
          <w:cols w:space="720" w:num="1"/>
          <w:docGrid w:type="lines" w:linePitch="455" w:charSpace="0"/>
        </w:sectPr>
      </w:pPr>
    </w:p>
    <w:tbl>
      <w:tblPr>
        <w:tblStyle w:val="8"/>
        <w:tblpPr w:leftFromText="180" w:rightFromText="180" w:vertAnchor="page" w:horzAnchor="page" w:tblpX="380" w:tblpY="1557"/>
        <w:tblOverlap w:val="never"/>
        <w:tblW w:w="15998" w:type="dxa"/>
        <w:tblInd w:w="0" w:type="dxa"/>
        <w:tblLayout w:type="fixed"/>
        <w:tblCellMar>
          <w:top w:w="0" w:type="dxa"/>
          <w:left w:w="0" w:type="dxa"/>
          <w:bottom w:w="0" w:type="dxa"/>
          <w:right w:w="0" w:type="dxa"/>
        </w:tblCellMar>
      </w:tblPr>
      <w:tblGrid>
        <w:gridCol w:w="617"/>
        <w:gridCol w:w="231"/>
        <w:gridCol w:w="1121"/>
        <w:gridCol w:w="967"/>
        <w:gridCol w:w="933"/>
        <w:gridCol w:w="1000"/>
        <w:gridCol w:w="1276"/>
        <w:gridCol w:w="807"/>
        <w:gridCol w:w="656"/>
        <w:gridCol w:w="278"/>
        <w:gridCol w:w="916"/>
        <w:gridCol w:w="1217"/>
        <w:gridCol w:w="817"/>
        <w:gridCol w:w="850"/>
        <w:gridCol w:w="1155"/>
        <w:gridCol w:w="1133"/>
        <w:gridCol w:w="1017"/>
        <w:gridCol w:w="1007"/>
      </w:tblGrid>
      <w:tr>
        <w:tblPrEx>
          <w:tblLayout w:type="fixed"/>
          <w:tblCellMar>
            <w:top w:w="0" w:type="dxa"/>
            <w:left w:w="0" w:type="dxa"/>
            <w:bottom w:w="0" w:type="dxa"/>
            <w:right w:w="0" w:type="dxa"/>
          </w:tblCellMar>
        </w:tblPrEx>
        <w:trPr>
          <w:trHeight w:val="1385" w:hRule="atLeast"/>
        </w:trPr>
        <w:tc>
          <w:tcPr>
            <w:tcW w:w="848" w:type="dxa"/>
            <w:gridSpan w:val="2"/>
            <w:tcBorders>
              <w:top w:val="nil"/>
              <w:left w:val="nil"/>
              <w:bottom w:val="nil"/>
              <w:right w:val="nil"/>
            </w:tcBorders>
          </w:tcPr>
          <w:p>
            <w:pPr>
              <w:rPr>
                <w:rFonts w:hint="eastAsia" w:ascii="黑体" w:hAnsi="黑体" w:eastAsia="黑体" w:cs="黑体"/>
                <w:sz w:val="32"/>
                <w:szCs w:val="32"/>
              </w:rPr>
            </w:pPr>
          </w:p>
        </w:tc>
        <w:tc>
          <w:tcPr>
            <w:tcW w:w="15150" w:type="dxa"/>
            <w:gridSpan w:val="16"/>
            <w:tcBorders>
              <w:top w:val="nil"/>
              <w:left w:val="nil"/>
              <w:bottom w:val="nil"/>
              <w:right w:val="nil"/>
            </w:tcBorders>
            <w:tcMar>
              <w:top w:w="15" w:type="dxa"/>
              <w:left w:w="15" w:type="dxa"/>
              <w:right w:w="15" w:type="dxa"/>
            </w:tcMar>
            <w:vAlign w:val="center"/>
          </w:tcPr>
          <w:p>
            <w:pPr>
              <w:rPr>
                <w:rFonts w:ascii="黑体" w:hAnsi="黑体" w:eastAsia="黑体" w:cs="黑体"/>
                <w:sz w:val="32"/>
                <w:szCs w:val="32"/>
              </w:rPr>
            </w:pPr>
            <w:r>
              <w:rPr>
                <w:rFonts w:hint="eastAsia" w:ascii="黑体" w:hAnsi="黑体" w:eastAsia="黑体" w:cs="黑体"/>
                <w:sz w:val="32"/>
                <w:szCs w:val="32"/>
              </w:rPr>
              <w:t>附件2</w:t>
            </w:r>
          </w:p>
          <w:p>
            <w:pPr>
              <w:widowControl/>
              <w:jc w:val="center"/>
              <w:textAlignment w:val="center"/>
              <w:rPr>
                <w:rFonts w:ascii="黑体" w:hAnsi="宋体" w:eastAsia="黑体" w:cs="黑体"/>
                <w:color w:val="000000"/>
                <w:sz w:val="48"/>
                <w:szCs w:val="48"/>
              </w:rPr>
            </w:pPr>
            <w:r>
              <w:rPr>
                <w:rFonts w:hint="eastAsia" w:ascii="宋体" w:hAnsi="宋体" w:cs="宋体"/>
                <w:b/>
                <w:bCs/>
                <w:color w:val="000000"/>
                <w:kern w:val="0"/>
                <w:sz w:val="44"/>
                <w:szCs w:val="44"/>
                <w:lang w:bidi="ar"/>
              </w:rPr>
              <w:t>龙岗区第七次全国人口普查“两员”工作量化考核表</w:t>
            </w:r>
          </w:p>
        </w:tc>
      </w:tr>
      <w:tr>
        <w:tblPrEx>
          <w:tblLayout w:type="fixed"/>
          <w:tblCellMar>
            <w:top w:w="0" w:type="dxa"/>
            <w:left w:w="0" w:type="dxa"/>
            <w:bottom w:w="0" w:type="dxa"/>
            <w:right w:w="0" w:type="dxa"/>
          </w:tblCellMar>
        </w:tblPrEx>
        <w:trPr>
          <w:trHeight w:val="500" w:hRule="atLeast"/>
        </w:trPr>
        <w:tc>
          <w:tcPr>
            <w:tcW w:w="6145" w:type="dxa"/>
            <w:gridSpan w:val="7"/>
            <w:tcBorders>
              <w:top w:val="nil"/>
              <w:left w:val="nil"/>
              <w:bottom w:val="single" w:color="000000" w:sz="4" w:space="0"/>
              <w:right w:val="nil"/>
            </w:tcBorders>
            <w:tcMar>
              <w:top w:w="15" w:type="dxa"/>
              <w:left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龙岗区  </w:t>
            </w:r>
            <w:r>
              <w:rPr>
                <w:rStyle w:val="13"/>
                <w:rFonts w:hint="default"/>
                <w:lang w:bidi="ar"/>
              </w:rPr>
              <w:t xml:space="preserve">          </w:t>
            </w:r>
            <w:r>
              <w:rPr>
                <w:rFonts w:hint="eastAsia" w:ascii="宋体" w:hAnsi="宋体" w:cs="宋体"/>
                <w:color w:val="000000"/>
                <w:kern w:val="0"/>
                <w:sz w:val="24"/>
                <w:szCs w:val="24"/>
                <w:lang w:bidi="ar"/>
              </w:rPr>
              <w:t xml:space="preserve">街道  </w:t>
            </w:r>
            <w:r>
              <w:rPr>
                <w:rStyle w:val="13"/>
                <w:rFonts w:hint="default"/>
                <w:lang w:bidi="ar"/>
              </w:rPr>
              <w:t xml:space="preserve">         </w:t>
            </w:r>
            <w:r>
              <w:rPr>
                <w:rFonts w:hint="eastAsia" w:ascii="宋体" w:hAnsi="宋体" w:cs="宋体"/>
                <w:color w:val="000000"/>
                <w:kern w:val="0"/>
                <w:sz w:val="24"/>
                <w:szCs w:val="24"/>
                <w:lang w:bidi="ar"/>
              </w:rPr>
              <w:t>普查区</w:t>
            </w:r>
          </w:p>
        </w:tc>
        <w:tc>
          <w:tcPr>
            <w:tcW w:w="1463" w:type="dxa"/>
            <w:gridSpan w:val="2"/>
            <w:tcBorders>
              <w:top w:val="nil"/>
              <w:left w:val="nil"/>
              <w:bottom w:val="single" w:color="000000" w:sz="4" w:space="0"/>
              <w:right w:val="nil"/>
            </w:tcBorders>
          </w:tcPr>
          <w:p>
            <w:pPr>
              <w:rPr>
                <w:rFonts w:ascii="宋体" w:hAnsi="宋体" w:cs="宋体"/>
                <w:color w:val="000000"/>
                <w:sz w:val="24"/>
                <w:szCs w:val="24"/>
              </w:rPr>
            </w:pPr>
          </w:p>
        </w:tc>
        <w:tc>
          <w:tcPr>
            <w:tcW w:w="8390" w:type="dxa"/>
            <w:gridSpan w:val="9"/>
            <w:tcBorders>
              <w:top w:val="nil"/>
              <w:left w:val="nil"/>
              <w:bottom w:val="single" w:color="000000" w:sz="4" w:space="0"/>
              <w:right w:val="nil"/>
            </w:tcBorders>
            <w:tcMar>
              <w:top w:w="15" w:type="dxa"/>
              <w:left w:w="15" w:type="dxa"/>
              <w:right w:w="15" w:type="dxa"/>
            </w:tcMar>
            <w:vAlign w:val="bottom"/>
          </w:tcPr>
          <w:p>
            <w:pPr>
              <w:rPr>
                <w:rFonts w:ascii="宋体" w:hAnsi="宋体" w:cs="宋体"/>
                <w:color w:val="000000"/>
                <w:sz w:val="24"/>
                <w:szCs w:val="24"/>
              </w:rPr>
            </w:pPr>
          </w:p>
        </w:tc>
      </w:tr>
      <w:tr>
        <w:tblPrEx>
          <w:tblLayout w:type="fixed"/>
          <w:tblCellMar>
            <w:top w:w="0" w:type="dxa"/>
            <w:left w:w="0" w:type="dxa"/>
            <w:bottom w:w="0" w:type="dxa"/>
            <w:right w:w="0" w:type="dxa"/>
          </w:tblCellMar>
        </w:tblPrEx>
        <w:trPr>
          <w:trHeight w:val="448" w:hRule="atLeast"/>
        </w:trPr>
        <w:tc>
          <w:tcPr>
            <w:tcW w:w="6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普查两员姓名</w:t>
            </w:r>
          </w:p>
        </w:tc>
        <w:tc>
          <w:tcPr>
            <w:tcW w:w="13357" w:type="dxa"/>
            <w:gridSpan w:val="1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ascii="宋体" w:hAnsi="宋体" w:cs="宋体"/>
                <w:color w:val="000000"/>
                <w:sz w:val="24"/>
                <w:szCs w:val="24"/>
              </w:rPr>
            </w:pPr>
            <w:r>
              <w:rPr>
                <w:rFonts w:hint="eastAsia" w:ascii="宋体" w:hAnsi="宋体" w:cs="宋体"/>
                <w:color w:val="000000"/>
                <w:kern w:val="0"/>
                <w:sz w:val="24"/>
                <w:szCs w:val="24"/>
                <w:lang w:bidi="ar"/>
              </w:rPr>
              <w:t>普查工作各阶段考核内容</w:t>
            </w:r>
          </w:p>
        </w:tc>
        <w:tc>
          <w:tcPr>
            <w:tcW w:w="2024"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ascii="宋体" w:hAnsi="宋体" w:cs="宋体"/>
                <w:color w:val="000000"/>
                <w:sz w:val="24"/>
                <w:szCs w:val="24"/>
              </w:rPr>
            </w:pPr>
            <w:r>
              <w:rPr>
                <w:rFonts w:hint="eastAsia" w:ascii="宋体" w:hAnsi="宋体" w:cs="宋体"/>
                <w:color w:val="000000"/>
                <w:kern w:val="0"/>
                <w:sz w:val="24"/>
                <w:szCs w:val="24"/>
                <w:lang w:bidi="ar"/>
              </w:rPr>
              <w:t>考核得分</w:t>
            </w:r>
          </w:p>
        </w:tc>
      </w:tr>
      <w:tr>
        <w:tblPrEx>
          <w:tblLayout w:type="fixed"/>
          <w:tblCellMar>
            <w:top w:w="0" w:type="dxa"/>
            <w:left w:w="0" w:type="dxa"/>
            <w:bottom w:w="0" w:type="dxa"/>
            <w:right w:w="0" w:type="dxa"/>
          </w:tblCellMar>
        </w:tblPrEx>
        <w:trPr>
          <w:trHeight w:val="90" w:hRule="atLeast"/>
        </w:trPr>
        <w:tc>
          <w:tcPr>
            <w:tcW w:w="6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仿宋_GB2312" w:hAnsi="宋体" w:eastAsia="仿宋_GB2312" w:cs="仿宋_GB2312"/>
                <w:color w:val="000000"/>
                <w:sz w:val="28"/>
                <w:szCs w:val="28"/>
              </w:rPr>
            </w:pPr>
          </w:p>
        </w:tc>
        <w:tc>
          <w:tcPr>
            <w:tcW w:w="425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普查摸底阶段</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宋体" w:hAnsi="宋体" w:cs="宋体"/>
                <w:color w:val="000000"/>
                <w:sz w:val="24"/>
                <w:szCs w:val="24"/>
              </w:rPr>
            </w:pPr>
            <w:r>
              <w:rPr>
                <w:rFonts w:hint="eastAsia" w:ascii="宋体" w:hAnsi="宋体" w:cs="宋体"/>
                <w:color w:val="000000"/>
                <w:kern w:val="0"/>
                <w:sz w:val="24"/>
                <w:szCs w:val="24"/>
                <w:lang w:bidi="ar"/>
              </w:rPr>
              <w:t>（</w:t>
            </w:r>
            <w:r>
              <w:rPr>
                <w:rFonts w:hint="eastAsia" w:ascii="宋体" w:hAnsi="宋体" w:cs="宋体"/>
                <w:color w:val="000000"/>
                <w:kern w:val="0"/>
                <w:sz w:val="24"/>
                <w:szCs w:val="24"/>
                <w:lang w:val="en-US" w:eastAsia="zh-CN" w:bidi="ar"/>
              </w:rPr>
              <w:t>25/30</w:t>
            </w:r>
            <w:r>
              <w:rPr>
                <w:rFonts w:hint="eastAsia" w:ascii="宋体" w:hAnsi="宋体" w:cs="宋体"/>
                <w:color w:val="000000"/>
                <w:kern w:val="0"/>
                <w:sz w:val="24"/>
                <w:szCs w:val="24"/>
                <w:lang w:bidi="ar"/>
              </w:rPr>
              <w:t>）</w:t>
            </w:r>
          </w:p>
        </w:tc>
        <w:tc>
          <w:tcPr>
            <w:tcW w:w="515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普查登记阶段</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ascii="宋体" w:hAnsi="宋体" w:cs="宋体"/>
                <w:color w:val="000000"/>
                <w:kern w:val="0"/>
                <w:sz w:val="24"/>
                <w:szCs w:val="24"/>
                <w:lang w:bidi="ar"/>
              </w:rPr>
            </w:pPr>
            <w:r>
              <w:rPr>
                <w:rFonts w:hint="eastAsia" w:ascii="宋体" w:hAnsi="宋体" w:cs="宋体"/>
                <w:color w:val="000000"/>
                <w:kern w:val="0"/>
                <w:sz w:val="24"/>
                <w:szCs w:val="24"/>
                <w:lang w:bidi="ar"/>
              </w:rPr>
              <w:t>（</w:t>
            </w:r>
            <w:r>
              <w:rPr>
                <w:rFonts w:hint="eastAsia" w:ascii="宋体" w:hAnsi="宋体" w:cs="宋体"/>
                <w:color w:val="000000"/>
                <w:kern w:val="0"/>
                <w:sz w:val="24"/>
                <w:szCs w:val="24"/>
                <w:lang w:val="en-US" w:eastAsia="zh-CN" w:bidi="ar"/>
              </w:rPr>
              <w:t>25/30</w:t>
            </w:r>
            <w:r>
              <w:rPr>
                <w:rFonts w:hint="eastAsia" w:ascii="宋体" w:hAnsi="宋体" w:cs="宋体"/>
                <w:color w:val="000000"/>
                <w:kern w:val="0"/>
                <w:sz w:val="24"/>
                <w:szCs w:val="24"/>
                <w:lang w:bidi="ar"/>
              </w:rPr>
              <w:t>）</w:t>
            </w:r>
          </w:p>
        </w:tc>
        <w:tc>
          <w:tcPr>
            <w:tcW w:w="16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比对复查阶段</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ascii="宋体" w:hAnsi="宋体" w:cs="宋体"/>
                <w:color w:val="000000"/>
                <w:kern w:val="0"/>
                <w:sz w:val="24"/>
                <w:szCs w:val="24"/>
                <w:lang w:bidi="ar"/>
              </w:rPr>
            </w:pPr>
            <w:r>
              <w:rPr>
                <w:rFonts w:hint="eastAsia" w:ascii="宋体" w:hAnsi="宋体" w:cs="宋体"/>
                <w:color w:val="000000"/>
                <w:kern w:val="0"/>
                <w:sz w:val="24"/>
                <w:szCs w:val="24"/>
                <w:lang w:bidi="ar"/>
              </w:rPr>
              <w:t>（20）</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行为规范</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ascii="宋体" w:hAnsi="宋体" w:cs="宋体"/>
                <w:color w:val="000000"/>
                <w:sz w:val="24"/>
                <w:szCs w:val="24"/>
              </w:rPr>
            </w:pPr>
            <w:r>
              <w:rPr>
                <w:rFonts w:hint="eastAsia" w:ascii="宋体" w:hAnsi="宋体" w:cs="宋体"/>
                <w:color w:val="000000"/>
                <w:kern w:val="0"/>
                <w:sz w:val="24"/>
                <w:szCs w:val="24"/>
                <w:lang w:bidi="ar"/>
              </w:rPr>
              <w:t>（20）</w:t>
            </w:r>
          </w:p>
        </w:tc>
        <w:tc>
          <w:tcPr>
            <w:tcW w:w="1133" w:type="dxa"/>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rPr>
            </w:pPr>
            <w:r>
              <w:rPr>
                <w:rFonts w:hint="eastAsia"/>
              </w:rPr>
              <w:t>街道评价</w:t>
            </w:r>
          </w:p>
          <w:p>
            <w:pPr>
              <w:pStyle w:val="2"/>
              <w:jc w:val="center"/>
            </w:pPr>
            <w:r>
              <w:rPr>
                <w:rFonts w:hint="eastAsia" w:ascii="宋体" w:hAnsi="宋体" w:cs="宋体"/>
                <w:color w:val="000000"/>
                <w:kern w:val="0"/>
                <w:sz w:val="24"/>
                <w:szCs w:val="24"/>
                <w:lang w:bidi="ar"/>
              </w:rPr>
              <w:t>（</w:t>
            </w:r>
            <w:r>
              <w:rPr>
                <w:rFonts w:hint="eastAsia" w:hAnsi="宋体" w:cs="宋体"/>
                <w:color w:val="000000"/>
                <w:kern w:val="0"/>
                <w:sz w:val="24"/>
                <w:szCs w:val="24"/>
                <w:lang w:val="en-US" w:eastAsia="zh-CN" w:bidi="ar"/>
              </w:rPr>
              <w:t>1</w:t>
            </w:r>
            <w:r>
              <w:rPr>
                <w:rFonts w:hint="eastAsia" w:ascii="宋体" w:hAnsi="宋体" w:cs="宋体"/>
                <w:color w:val="000000"/>
                <w:kern w:val="0"/>
                <w:sz w:val="24"/>
                <w:szCs w:val="24"/>
                <w:lang w:bidi="ar"/>
              </w:rPr>
              <w:t>0）</w:t>
            </w:r>
          </w:p>
        </w:tc>
        <w:tc>
          <w:tcPr>
            <w:tcW w:w="2024"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ascii="宋体" w:hAnsi="宋体" w:cs="宋体"/>
                <w:color w:val="000000"/>
                <w:sz w:val="24"/>
                <w:szCs w:val="24"/>
              </w:rPr>
            </w:pPr>
          </w:p>
        </w:tc>
      </w:tr>
      <w:tr>
        <w:tblPrEx>
          <w:tblLayout w:type="fixed"/>
          <w:tblCellMar>
            <w:top w:w="0" w:type="dxa"/>
            <w:left w:w="0" w:type="dxa"/>
            <w:bottom w:w="0" w:type="dxa"/>
            <w:right w:w="0" w:type="dxa"/>
          </w:tblCellMar>
        </w:tblPrEx>
        <w:trPr>
          <w:trHeight w:val="1334" w:hRule="exact"/>
        </w:trPr>
        <w:tc>
          <w:tcPr>
            <w:tcW w:w="6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仿宋_GB2312" w:hAnsi="宋体" w:eastAsia="仿宋_GB2312" w:cs="仿宋_GB2312"/>
                <w:color w:val="000000"/>
                <w:sz w:val="28"/>
                <w:szCs w:val="28"/>
              </w:rPr>
            </w:pPr>
          </w:p>
        </w:tc>
        <w:tc>
          <w:tcPr>
            <w:tcW w:w="13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户籍、出生、死亡人口摸底完成情况</w:t>
            </w: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质量验收</w:t>
            </w: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方案执行情况</w:t>
            </w:r>
          </w:p>
        </w:tc>
        <w:tc>
          <w:tcPr>
            <w:tcW w:w="1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仿宋_GB2312" w:hAnsi="宋体" w:eastAsia="仿宋_GB2312" w:cs="仿宋_GB2312"/>
                <w:color w:val="000000"/>
                <w:szCs w:val="21"/>
              </w:rPr>
            </w:pPr>
            <w:r>
              <w:rPr>
                <w:rFonts w:hint="eastAsia" w:ascii="仿宋_GB2312" w:hAnsi="宋体" w:eastAsia="仿宋_GB2312" w:cs="仿宋_GB2312"/>
                <w:color w:val="000000"/>
                <w:szCs w:val="21"/>
              </w:rPr>
              <w:t>指导员额外评定</w:t>
            </w:r>
          </w:p>
        </w:tc>
        <w:tc>
          <w:tcPr>
            <w:tcW w:w="20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普查、户籍、出生、死亡人口登记完成情况</w:t>
            </w:r>
          </w:p>
        </w:tc>
        <w:tc>
          <w:tcPr>
            <w:tcW w:w="9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质量验收</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方案执行情况</w:t>
            </w: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仿宋_GB2312" w:hAnsi="宋体" w:eastAsia="仿宋_GB2312" w:cs="仿宋_GB2312"/>
                <w:color w:val="000000"/>
                <w:szCs w:val="21"/>
              </w:rPr>
            </w:pPr>
            <w:r>
              <w:rPr>
                <w:rFonts w:hint="eastAsia" w:ascii="仿宋_GB2312" w:hAnsi="宋体" w:eastAsia="仿宋_GB2312" w:cs="仿宋_GB2312"/>
                <w:color w:val="000000"/>
                <w:szCs w:val="21"/>
              </w:rPr>
              <w:t>指导员额外评定</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名单下发考核</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电话数据核实</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仿宋_GB2312" w:hAnsi="宋体" w:eastAsia="仿宋_GB2312" w:cs="仿宋_GB2312"/>
                <w:color w:val="000000"/>
                <w:szCs w:val="21"/>
              </w:rPr>
            </w:pPr>
            <w:r>
              <w:rPr>
                <w:rFonts w:hint="eastAsia" w:ascii="仿宋_GB2312" w:hAnsi="宋体" w:eastAsia="仿宋_GB2312" w:cs="仿宋_GB2312"/>
                <w:color w:val="000000"/>
                <w:szCs w:val="21"/>
              </w:rPr>
              <w:t>行为规范</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总体评价</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 xml:space="preserve">普查员 </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ascii="宋体" w:hAnsi="宋体" w:cs="宋体"/>
                <w:color w:val="000000"/>
                <w:szCs w:val="21"/>
              </w:rPr>
            </w:pPr>
            <w:r>
              <w:rPr>
                <w:rFonts w:hint="eastAsia" w:ascii="仿宋_GB2312" w:hAnsi="宋体" w:eastAsia="仿宋_GB2312" w:cs="仿宋_GB2312"/>
                <w:color w:val="000000"/>
                <w:kern w:val="0"/>
                <w:szCs w:val="21"/>
                <w:lang w:bidi="ar"/>
              </w:rPr>
              <w:t>指导员</w:t>
            </w:r>
          </w:p>
        </w:tc>
      </w:tr>
      <w:tr>
        <w:tblPrEx>
          <w:tblLayout w:type="fixed"/>
          <w:tblCellMar>
            <w:top w:w="0" w:type="dxa"/>
            <w:left w:w="0" w:type="dxa"/>
            <w:bottom w:w="0" w:type="dxa"/>
            <w:right w:w="0" w:type="dxa"/>
          </w:tblCellMar>
        </w:tblPrEx>
        <w:trPr>
          <w:trHeight w:val="90" w:hRule="atLeast"/>
        </w:trPr>
        <w:tc>
          <w:tcPr>
            <w:tcW w:w="6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仿宋_GB2312" w:hAnsi="宋体" w:eastAsia="仿宋_GB2312" w:cs="仿宋_GB2312"/>
                <w:color w:val="000000"/>
                <w:sz w:val="28"/>
                <w:szCs w:val="28"/>
              </w:rPr>
            </w:pPr>
          </w:p>
        </w:tc>
        <w:tc>
          <w:tcPr>
            <w:tcW w:w="135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（10分）</w:t>
            </w:r>
          </w:p>
        </w:tc>
        <w:tc>
          <w:tcPr>
            <w:tcW w:w="96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(10分)</w:t>
            </w:r>
          </w:p>
        </w:tc>
        <w:tc>
          <w:tcPr>
            <w:tcW w:w="93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(5分)</w:t>
            </w:r>
          </w:p>
        </w:tc>
        <w:tc>
          <w:tcPr>
            <w:tcW w:w="10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（5分)</w:t>
            </w:r>
          </w:p>
        </w:tc>
        <w:tc>
          <w:tcPr>
            <w:tcW w:w="2083"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(10分)</w:t>
            </w:r>
          </w:p>
        </w:tc>
        <w:tc>
          <w:tcPr>
            <w:tcW w:w="934"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(10分)</w:t>
            </w:r>
          </w:p>
        </w:tc>
        <w:tc>
          <w:tcPr>
            <w:tcW w:w="91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(5分)</w:t>
            </w:r>
          </w:p>
        </w:tc>
        <w:tc>
          <w:tcPr>
            <w:tcW w:w="121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(5分)</w:t>
            </w:r>
          </w:p>
        </w:tc>
        <w:tc>
          <w:tcPr>
            <w:tcW w:w="81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(10分)</w:t>
            </w:r>
          </w:p>
        </w:tc>
        <w:tc>
          <w:tcPr>
            <w:tcW w:w="8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(10分)</w:t>
            </w:r>
          </w:p>
        </w:tc>
        <w:tc>
          <w:tcPr>
            <w:tcW w:w="115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(20分)</w:t>
            </w:r>
          </w:p>
        </w:tc>
        <w:tc>
          <w:tcPr>
            <w:tcW w:w="1133"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(10分)</w:t>
            </w:r>
          </w:p>
        </w:tc>
        <w:tc>
          <w:tcPr>
            <w:tcW w:w="101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100</w:t>
            </w:r>
            <w:r>
              <w:rPr>
                <w:rFonts w:hint="eastAsia" w:ascii="宋体" w:hAnsi="宋体" w:cs="宋体"/>
                <w:color w:val="000000"/>
                <w:sz w:val="24"/>
                <w:szCs w:val="24"/>
              </w:rPr>
              <w:t>分)</w:t>
            </w:r>
          </w:p>
        </w:tc>
        <w:tc>
          <w:tcPr>
            <w:tcW w:w="100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r>
              <w:rPr>
                <w:rFonts w:hint="eastAsia" w:ascii="宋体" w:hAnsi="宋体" w:cs="宋体"/>
                <w:color w:val="000000"/>
                <w:kern w:val="0"/>
                <w:sz w:val="24"/>
                <w:szCs w:val="24"/>
                <w:lang w:val="en-US" w:eastAsia="zh-CN" w:bidi="ar"/>
              </w:rPr>
              <w:t>1</w:t>
            </w:r>
            <w:r>
              <w:rPr>
                <w:rFonts w:hint="eastAsia" w:ascii="宋体" w:hAnsi="宋体" w:cs="宋体"/>
                <w:color w:val="000000"/>
                <w:kern w:val="0"/>
                <w:sz w:val="24"/>
                <w:szCs w:val="24"/>
                <w:lang w:bidi="ar"/>
              </w:rPr>
              <w:t>0分)</w:t>
            </w:r>
          </w:p>
        </w:tc>
      </w:tr>
      <w:tr>
        <w:tblPrEx>
          <w:tblLayout w:type="fixed"/>
          <w:tblCellMar>
            <w:top w:w="0" w:type="dxa"/>
            <w:left w:w="0" w:type="dxa"/>
            <w:bottom w:w="0" w:type="dxa"/>
            <w:right w:w="0" w:type="dxa"/>
          </w:tblCellMar>
        </w:tblPrEx>
        <w:trPr>
          <w:trHeight w:val="90" w:hRule="atLeast"/>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楷体_GB2312" w:hAnsi="宋体" w:eastAsia="楷体_GB2312" w:cs="楷体_GB2312"/>
                <w:color w:val="000000"/>
                <w:sz w:val="24"/>
                <w:szCs w:val="24"/>
              </w:rPr>
            </w:pPr>
          </w:p>
        </w:tc>
        <w:tc>
          <w:tcPr>
            <w:tcW w:w="13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楷体_GB2312" w:hAnsi="宋体" w:eastAsia="楷体_GB2312" w:cs="楷体_GB2312"/>
                <w:color w:val="000000"/>
                <w:sz w:val="24"/>
                <w:szCs w:val="24"/>
              </w:rPr>
            </w:pP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10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Times New Roman" w:hAnsi="Times New Roman"/>
                <w:color w:val="000000"/>
                <w:szCs w:val="21"/>
              </w:rPr>
            </w:pPr>
          </w:p>
        </w:tc>
        <w:tc>
          <w:tcPr>
            <w:tcW w:w="20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934"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113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4"/>
                <w:szCs w:val="24"/>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szCs w:val="24"/>
              </w:rPr>
            </w:pP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szCs w:val="24"/>
              </w:rPr>
            </w:pPr>
          </w:p>
        </w:tc>
      </w:tr>
      <w:tr>
        <w:tblPrEx>
          <w:tblLayout w:type="fixed"/>
          <w:tblCellMar>
            <w:top w:w="0" w:type="dxa"/>
            <w:left w:w="0" w:type="dxa"/>
            <w:bottom w:w="0" w:type="dxa"/>
            <w:right w:w="0" w:type="dxa"/>
          </w:tblCellMar>
        </w:tblPrEx>
        <w:trPr>
          <w:trHeight w:val="90" w:hRule="atLeast"/>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楷体_GB2312" w:hAnsi="宋体" w:eastAsia="楷体_GB2312" w:cs="楷体_GB2312"/>
                <w:color w:val="000000"/>
                <w:sz w:val="24"/>
                <w:szCs w:val="24"/>
              </w:rPr>
            </w:pPr>
          </w:p>
        </w:tc>
        <w:tc>
          <w:tcPr>
            <w:tcW w:w="13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楷体_GB2312" w:hAnsi="宋体" w:eastAsia="楷体_GB2312" w:cs="楷体_GB2312"/>
                <w:color w:val="000000"/>
                <w:sz w:val="24"/>
                <w:szCs w:val="24"/>
              </w:rPr>
            </w:pP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10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Times New Roman" w:hAnsi="Times New Roman"/>
                <w:color w:val="000000"/>
                <w:szCs w:val="21"/>
              </w:rPr>
            </w:pPr>
          </w:p>
        </w:tc>
        <w:tc>
          <w:tcPr>
            <w:tcW w:w="20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934"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113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4"/>
                <w:szCs w:val="24"/>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szCs w:val="24"/>
              </w:rPr>
            </w:pP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szCs w:val="24"/>
              </w:rPr>
            </w:pPr>
          </w:p>
        </w:tc>
      </w:tr>
      <w:tr>
        <w:tblPrEx>
          <w:tblLayout w:type="fixed"/>
          <w:tblCellMar>
            <w:top w:w="0" w:type="dxa"/>
            <w:left w:w="0" w:type="dxa"/>
            <w:bottom w:w="0" w:type="dxa"/>
            <w:right w:w="0" w:type="dxa"/>
          </w:tblCellMar>
        </w:tblPrEx>
        <w:trPr>
          <w:trHeight w:val="90" w:hRule="atLeast"/>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楷体_GB2312" w:hAnsi="宋体" w:eastAsia="楷体_GB2312" w:cs="楷体_GB2312"/>
                <w:color w:val="000000"/>
                <w:sz w:val="24"/>
                <w:szCs w:val="24"/>
              </w:rPr>
            </w:pPr>
          </w:p>
        </w:tc>
        <w:tc>
          <w:tcPr>
            <w:tcW w:w="13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楷体_GB2312" w:hAnsi="宋体" w:eastAsia="楷体_GB2312" w:cs="楷体_GB2312"/>
                <w:color w:val="000000"/>
                <w:sz w:val="24"/>
                <w:szCs w:val="24"/>
              </w:rPr>
            </w:pP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10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Times New Roman" w:hAnsi="Times New Roman"/>
                <w:color w:val="000000"/>
                <w:szCs w:val="21"/>
              </w:rPr>
            </w:pPr>
          </w:p>
        </w:tc>
        <w:tc>
          <w:tcPr>
            <w:tcW w:w="20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934"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113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4"/>
                <w:szCs w:val="24"/>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szCs w:val="24"/>
              </w:rPr>
            </w:pP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szCs w:val="24"/>
              </w:rPr>
            </w:pPr>
          </w:p>
        </w:tc>
      </w:tr>
      <w:tr>
        <w:tblPrEx>
          <w:tblLayout w:type="fixed"/>
          <w:tblCellMar>
            <w:top w:w="0" w:type="dxa"/>
            <w:left w:w="0" w:type="dxa"/>
            <w:bottom w:w="0" w:type="dxa"/>
            <w:right w:w="0" w:type="dxa"/>
          </w:tblCellMar>
        </w:tblPrEx>
        <w:trPr>
          <w:trHeight w:val="90" w:hRule="atLeast"/>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楷体_GB2312" w:hAnsi="宋体" w:eastAsia="楷体_GB2312" w:cs="楷体_GB2312"/>
                <w:color w:val="000000"/>
                <w:sz w:val="24"/>
                <w:szCs w:val="24"/>
              </w:rPr>
            </w:pPr>
          </w:p>
        </w:tc>
        <w:tc>
          <w:tcPr>
            <w:tcW w:w="13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楷体_GB2312" w:hAnsi="宋体" w:eastAsia="楷体_GB2312" w:cs="楷体_GB2312"/>
                <w:color w:val="000000"/>
                <w:sz w:val="24"/>
                <w:szCs w:val="24"/>
              </w:rPr>
            </w:pP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10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Times New Roman" w:hAnsi="Times New Roman"/>
                <w:color w:val="000000"/>
                <w:szCs w:val="21"/>
              </w:rPr>
            </w:pPr>
          </w:p>
        </w:tc>
        <w:tc>
          <w:tcPr>
            <w:tcW w:w="20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934"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113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4"/>
                <w:szCs w:val="24"/>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szCs w:val="24"/>
              </w:rPr>
            </w:pP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szCs w:val="24"/>
              </w:rPr>
            </w:pPr>
          </w:p>
        </w:tc>
      </w:tr>
      <w:tr>
        <w:tblPrEx>
          <w:tblLayout w:type="fixed"/>
          <w:tblCellMar>
            <w:top w:w="0" w:type="dxa"/>
            <w:left w:w="0" w:type="dxa"/>
            <w:bottom w:w="0" w:type="dxa"/>
            <w:right w:w="0" w:type="dxa"/>
          </w:tblCellMar>
        </w:tblPrEx>
        <w:trPr>
          <w:trHeight w:val="90" w:hRule="atLeast"/>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楷体_GB2312" w:hAnsi="宋体" w:eastAsia="楷体_GB2312" w:cs="楷体_GB2312"/>
                <w:color w:val="000000"/>
                <w:sz w:val="24"/>
                <w:szCs w:val="24"/>
              </w:rPr>
            </w:pPr>
          </w:p>
        </w:tc>
        <w:tc>
          <w:tcPr>
            <w:tcW w:w="13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楷体_GB2312" w:hAnsi="宋体" w:eastAsia="楷体_GB2312" w:cs="楷体_GB2312"/>
                <w:color w:val="000000"/>
                <w:sz w:val="24"/>
                <w:szCs w:val="24"/>
              </w:rPr>
            </w:pP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10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Times New Roman" w:hAnsi="Times New Roman"/>
                <w:color w:val="000000"/>
                <w:szCs w:val="21"/>
              </w:rPr>
            </w:pPr>
          </w:p>
        </w:tc>
        <w:tc>
          <w:tcPr>
            <w:tcW w:w="20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934"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113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4"/>
                <w:szCs w:val="24"/>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szCs w:val="24"/>
              </w:rPr>
            </w:pP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szCs w:val="24"/>
              </w:rPr>
            </w:pPr>
          </w:p>
        </w:tc>
      </w:tr>
      <w:tr>
        <w:tblPrEx>
          <w:tblLayout w:type="fixed"/>
          <w:tblCellMar>
            <w:top w:w="0" w:type="dxa"/>
            <w:left w:w="0" w:type="dxa"/>
            <w:bottom w:w="0" w:type="dxa"/>
            <w:right w:w="0" w:type="dxa"/>
          </w:tblCellMar>
        </w:tblPrEx>
        <w:trPr>
          <w:trHeight w:val="90" w:hRule="atLeast"/>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楷体_GB2312" w:hAnsi="宋体" w:eastAsia="楷体_GB2312" w:cs="楷体_GB2312"/>
                <w:color w:val="000000"/>
                <w:sz w:val="24"/>
                <w:szCs w:val="24"/>
              </w:rPr>
            </w:pPr>
          </w:p>
        </w:tc>
        <w:tc>
          <w:tcPr>
            <w:tcW w:w="13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楷体_GB2312" w:hAnsi="宋体" w:eastAsia="楷体_GB2312" w:cs="楷体_GB2312"/>
                <w:color w:val="000000"/>
                <w:sz w:val="24"/>
                <w:szCs w:val="24"/>
              </w:rPr>
            </w:pP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10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Times New Roman" w:hAnsi="Times New Roman"/>
                <w:color w:val="000000"/>
                <w:szCs w:val="21"/>
              </w:rPr>
            </w:pPr>
          </w:p>
        </w:tc>
        <w:tc>
          <w:tcPr>
            <w:tcW w:w="20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934"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113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4"/>
                <w:szCs w:val="24"/>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szCs w:val="24"/>
              </w:rPr>
            </w:pP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szCs w:val="24"/>
              </w:rPr>
            </w:pPr>
          </w:p>
        </w:tc>
      </w:tr>
      <w:tr>
        <w:tblPrEx>
          <w:tblLayout w:type="fixed"/>
          <w:tblCellMar>
            <w:top w:w="0" w:type="dxa"/>
            <w:left w:w="0" w:type="dxa"/>
            <w:bottom w:w="0" w:type="dxa"/>
            <w:right w:w="0" w:type="dxa"/>
          </w:tblCellMar>
        </w:tblPrEx>
        <w:trPr>
          <w:trHeight w:val="90" w:hRule="atLeast"/>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楷体_GB2312" w:hAnsi="宋体" w:eastAsia="楷体_GB2312" w:cs="楷体_GB2312"/>
                <w:color w:val="000000"/>
                <w:sz w:val="24"/>
                <w:szCs w:val="24"/>
              </w:rPr>
            </w:pPr>
          </w:p>
        </w:tc>
        <w:tc>
          <w:tcPr>
            <w:tcW w:w="13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楷体_GB2312" w:hAnsi="宋体" w:eastAsia="楷体_GB2312" w:cs="楷体_GB2312"/>
                <w:color w:val="000000"/>
                <w:sz w:val="24"/>
                <w:szCs w:val="24"/>
              </w:rPr>
            </w:pP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10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Times New Roman" w:hAnsi="Times New Roman"/>
                <w:color w:val="000000"/>
                <w:szCs w:val="21"/>
              </w:rPr>
            </w:pPr>
          </w:p>
        </w:tc>
        <w:tc>
          <w:tcPr>
            <w:tcW w:w="20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934"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113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4"/>
                <w:szCs w:val="24"/>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szCs w:val="24"/>
              </w:rPr>
            </w:pP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szCs w:val="24"/>
              </w:rPr>
            </w:pPr>
          </w:p>
        </w:tc>
      </w:tr>
      <w:tr>
        <w:tblPrEx>
          <w:tblLayout w:type="fixed"/>
          <w:tblCellMar>
            <w:top w:w="0" w:type="dxa"/>
            <w:left w:w="0" w:type="dxa"/>
            <w:bottom w:w="0" w:type="dxa"/>
            <w:right w:w="0" w:type="dxa"/>
          </w:tblCellMar>
        </w:tblPrEx>
        <w:trPr>
          <w:trHeight w:val="90" w:hRule="atLeast"/>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楷体_GB2312" w:hAnsi="宋体" w:eastAsia="楷体_GB2312" w:cs="楷体_GB2312"/>
                <w:color w:val="000000"/>
                <w:sz w:val="24"/>
                <w:szCs w:val="24"/>
              </w:rPr>
            </w:pPr>
          </w:p>
        </w:tc>
        <w:tc>
          <w:tcPr>
            <w:tcW w:w="13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楷体_GB2312" w:hAnsi="宋体" w:eastAsia="楷体_GB2312" w:cs="楷体_GB2312"/>
                <w:color w:val="000000"/>
                <w:sz w:val="24"/>
                <w:szCs w:val="24"/>
              </w:rPr>
            </w:pP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10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Times New Roman" w:hAnsi="Times New Roman"/>
                <w:color w:val="000000"/>
                <w:szCs w:val="21"/>
              </w:rPr>
            </w:pPr>
          </w:p>
        </w:tc>
        <w:tc>
          <w:tcPr>
            <w:tcW w:w="20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934"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Cs w:val="21"/>
              </w:rPr>
            </w:pPr>
          </w:p>
        </w:tc>
        <w:tc>
          <w:tcPr>
            <w:tcW w:w="113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4"/>
                <w:szCs w:val="24"/>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szCs w:val="24"/>
              </w:rPr>
            </w:pP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szCs w:val="24"/>
              </w:rPr>
            </w:pPr>
          </w:p>
        </w:tc>
      </w:tr>
      <w:tr>
        <w:tblPrEx>
          <w:tblLayout w:type="fixed"/>
          <w:tblCellMar>
            <w:top w:w="0" w:type="dxa"/>
            <w:left w:w="0" w:type="dxa"/>
            <w:bottom w:w="0" w:type="dxa"/>
            <w:right w:w="0" w:type="dxa"/>
          </w:tblCellMar>
        </w:tblPrEx>
        <w:trPr>
          <w:trHeight w:val="470" w:hRule="atLeast"/>
        </w:trPr>
        <w:tc>
          <w:tcPr>
            <w:tcW w:w="15998" w:type="dxa"/>
            <w:gridSpan w:val="18"/>
            <w:tcBorders>
              <w:top w:val="single" w:color="000000" w:sz="4" w:space="0"/>
              <w:left w:val="nil"/>
              <w:bottom w:val="nil"/>
              <w:right w:val="nil"/>
            </w:tcBorders>
          </w:tcPr>
          <w:p>
            <w:pPr>
              <w:widowControl/>
              <w:jc w:val="righ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 xml:space="preserve">                                     </w:t>
            </w:r>
          </w:p>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 街道填表人签名：</w:t>
            </w:r>
            <w:r>
              <w:rPr>
                <w:rStyle w:val="13"/>
                <w:rFonts w:hint="default"/>
                <w:lang w:bidi="ar"/>
              </w:rPr>
              <w:t xml:space="preserve">                </w:t>
            </w:r>
            <w:r>
              <w:rPr>
                <w:rFonts w:hint="eastAsia" w:ascii="宋体" w:hAnsi="宋体" w:cs="宋体"/>
                <w:color w:val="000000"/>
                <w:kern w:val="0"/>
                <w:sz w:val="24"/>
                <w:szCs w:val="24"/>
                <w:lang w:bidi="ar"/>
              </w:rPr>
              <w:t xml:space="preserve">        </w:t>
            </w:r>
            <w:r>
              <w:rPr>
                <w:rStyle w:val="13"/>
                <w:rFonts w:hint="default"/>
                <w:lang w:bidi="ar"/>
              </w:rPr>
              <w:t xml:space="preserve">        </w:t>
            </w:r>
            <w:r>
              <w:rPr>
                <w:rFonts w:hint="eastAsia" w:ascii="宋体" w:hAnsi="宋体" w:cs="宋体"/>
                <w:color w:val="000000"/>
                <w:kern w:val="0"/>
                <w:sz w:val="24"/>
                <w:szCs w:val="24"/>
                <w:lang w:bidi="ar"/>
              </w:rPr>
              <w:t>年</w:t>
            </w:r>
            <w:r>
              <w:rPr>
                <w:rStyle w:val="13"/>
                <w:rFonts w:hint="default"/>
                <w:lang w:bidi="ar"/>
              </w:rPr>
              <w:t xml:space="preserve">    </w:t>
            </w:r>
            <w:r>
              <w:rPr>
                <w:rFonts w:hint="eastAsia" w:ascii="宋体" w:hAnsi="宋体" w:cs="宋体"/>
                <w:color w:val="000000"/>
                <w:kern w:val="0"/>
                <w:sz w:val="24"/>
                <w:szCs w:val="24"/>
                <w:lang w:bidi="ar"/>
              </w:rPr>
              <w:t>月</w:t>
            </w:r>
            <w:r>
              <w:rPr>
                <w:rStyle w:val="13"/>
                <w:rFonts w:hint="default"/>
                <w:lang w:bidi="ar"/>
              </w:rPr>
              <w:t xml:space="preserve">    </w:t>
            </w:r>
            <w:r>
              <w:rPr>
                <w:rFonts w:hint="eastAsia" w:ascii="宋体" w:hAnsi="宋体" w:cs="宋体"/>
                <w:color w:val="000000"/>
                <w:kern w:val="0"/>
                <w:sz w:val="24"/>
                <w:szCs w:val="24"/>
                <w:lang w:bidi="ar"/>
              </w:rPr>
              <w:t>日</w:t>
            </w:r>
          </w:p>
        </w:tc>
      </w:tr>
    </w:tbl>
    <w:p>
      <w:pPr>
        <w:keepNext w:val="0"/>
        <w:keepLines w:val="0"/>
        <w:pageBreakBefore w:val="0"/>
        <w:widowControl/>
        <w:kinsoku/>
        <w:wordWrap/>
        <w:overflowPunct/>
        <w:topLinePunct w:val="0"/>
        <w:autoSpaceDE/>
        <w:autoSpaceDN/>
        <w:bidi w:val="0"/>
        <w:adjustRightInd/>
        <w:spacing w:line="560" w:lineRule="exact"/>
        <w:ind w:right="0" w:rightChars="0"/>
        <w:jc w:val="both"/>
        <w:textAlignment w:val="auto"/>
        <w:outlineLvl w:val="9"/>
        <w:rPr>
          <w:rFonts w:hint="eastAsia" w:ascii="仿宋_GB2312" w:hAnsi="仿宋_GB2312" w:eastAsia="仿宋_GB2312" w:cs="仿宋_GB2312"/>
          <w:bCs/>
          <w:sz w:val="32"/>
          <w:szCs w:val="32"/>
          <w:lang w:val="en-US" w:eastAsia="zh-CN"/>
        </w:rPr>
      </w:pPr>
    </w:p>
    <w:sectPr>
      <w:pgSz w:w="16838" w:h="11906" w:orient="landscape"/>
      <w:pgMar w:top="1554" w:right="1134" w:bottom="1532"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- 28 -</w:t>
                          </w:r>
                          <w:r>
                            <w:rPr>
                              <w:rFonts w:hint="eastAsia" w:ascii="仿宋_GB2312" w:hAnsi="仿宋_GB2312" w:eastAsia="仿宋_GB2312" w:cs="仿宋_GB2312"/>
                              <w:sz w:val="28"/>
                              <w:szCs w:val="28"/>
                            </w:rPr>
                            <w:fldChar w:fldCharType="end"/>
                          </w:r>
                        </w:p>
                      </w:txbxContent>
                    </wps:txbx>
                    <wps:bodyPr vert="horz" wrap="none" lIns="0" tIns="0" rIns="0" bIns="0" anchor="t" anchorCtr="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JZjyzwAEAAHIDAAAOAAAAAAAAAAEAIAAAAB4BAABkcnMvZTJvRG9jLnhtbFBLBQYA&#10;AAAABgAGAFkBAABQBQAAAAA=&#10;">
              <v:fill on="f" focussize="0,0"/>
              <v:stroke on="f"/>
              <v:imagedata o:title=""/>
              <o:lock v:ext="edit" aspectratio="f"/>
              <v:textbox inset="0mm,0mm,0mm,0mm" style="mso-fit-shape-to-text:t;">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- 28 -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CC0010"/>
    <w:multiLevelType w:val="singleLevel"/>
    <w:tmpl w:val="ABCC0010"/>
    <w:lvl w:ilvl="0" w:tentative="0">
      <w:start w:val="1"/>
      <w:numFmt w:val="decimal"/>
      <w:suff w:val="nothing"/>
      <w:lvlText w:val="（%1）"/>
      <w:lvlJc w:val="left"/>
    </w:lvl>
  </w:abstractNum>
  <w:abstractNum w:abstractNumId="1">
    <w:nsid w:val="BF1A6928"/>
    <w:multiLevelType w:val="singleLevel"/>
    <w:tmpl w:val="BF1A6928"/>
    <w:lvl w:ilvl="0" w:tentative="0">
      <w:start w:val="1"/>
      <w:numFmt w:val="decimal"/>
      <w:suff w:val="nothing"/>
      <w:lvlText w:val="（%1）"/>
      <w:lvlJc w:val="left"/>
    </w:lvl>
  </w:abstractNum>
  <w:abstractNum w:abstractNumId="2">
    <w:nsid w:val="DE84B11A"/>
    <w:multiLevelType w:val="singleLevel"/>
    <w:tmpl w:val="DE84B11A"/>
    <w:lvl w:ilvl="0" w:tentative="0">
      <w:start w:val="1"/>
      <w:numFmt w:val="decimal"/>
      <w:suff w:val="nothing"/>
      <w:lvlText w:val="（%1）"/>
      <w:lvlJc w:val="left"/>
    </w:lvl>
  </w:abstractNum>
  <w:abstractNum w:abstractNumId="3">
    <w:nsid w:val="13F5B5B6"/>
    <w:multiLevelType w:val="singleLevel"/>
    <w:tmpl w:val="13F5B5B6"/>
    <w:lvl w:ilvl="0" w:tentative="0">
      <w:start w:val="1"/>
      <w:numFmt w:val="decimal"/>
      <w:suff w:val="nothing"/>
      <w:lvlText w:val="（%1）"/>
      <w:lvlJc w:val="left"/>
    </w:lvl>
  </w:abstractNum>
  <w:abstractNum w:abstractNumId="4">
    <w:nsid w:val="789CEB50"/>
    <w:multiLevelType w:val="singleLevel"/>
    <w:tmpl w:val="789CEB50"/>
    <w:lvl w:ilvl="0" w:tentative="0">
      <w:start w:val="1"/>
      <w:numFmt w:val="decimal"/>
      <w:suff w:val="nothing"/>
      <w:lvlText w:val="（%1）"/>
      <w:lvlJc w:val="left"/>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82A15"/>
    <w:rsid w:val="001B2D19"/>
    <w:rsid w:val="006B5C47"/>
    <w:rsid w:val="00E577ED"/>
    <w:rsid w:val="00ED5A97"/>
    <w:rsid w:val="0149357F"/>
    <w:rsid w:val="016C3E8F"/>
    <w:rsid w:val="05E176E7"/>
    <w:rsid w:val="088309D1"/>
    <w:rsid w:val="0D1A119B"/>
    <w:rsid w:val="0EB0597A"/>
    <w:rsid w:val="21D56E8A"/>
    <w:rsid w:val="255C0A98"/>
    <w:rsid w:val="25EC4C6D"/>
    <w:rsid w:val="27B05C96"/>
    <w:rsid w:val="2822020A"/>
    <w:rsid w:val="2BAC6047"/>
    <w:rsid w:val="2BF95B3D"/>
    <w:rsid w:val="2CA27BB8"/>
    <w:rsid w:val="3E471EE2"/>
    <w:rsid w:val="3F166E9A"/>
    <w:rsid w:val="47B67038"/>
    <w:rsid w:val="48725F3F"/>
    <w:rsid w:val="524E1715"/>
    <w:rsid w:val="52507007"/>
    <w:rsid w:val="561308AF"/>
    <w:rsid w:val="57D658B4"/>
    <w:rsid w:val="59375366"/>
    <w:rsid w:val="59422DAF"/>
    <w:rsid w:val="5BA11CE7"/>
    <w:rsid w:val="628D0640"/>
    <w:rsid w:val="6EA93F34"/>
    <w:rsid w:val="72637179"/>
    <w:rsid w:val="74C4001A"/>
    <w:rsid w:val="7E492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next w:val="3"/>
    <w:unhideWhenUsed/>
    <w:qFormat/>
    <w:uiPriority w:val="99"/>
    <w:rPr>
      <w:rFonts w:ascii="宋体" w:hAnsi="Courier New" w:eastAsia="宋体" w:cs="Courier New"/>
      <w:sz w:val="21"/>
      <w:szCs w:val="21"/>
    </w:rPr>
  </w:style>
  <w:style w:type="paragraph" w:styleId="3">
    <w:name w:val="index 8"/>
    <w:basedOn w:val="1"/>
    <w:next w:val="1"/>
    <w:unhideWhenUsed/>
    <w:qFormat/>
    <w:uiPriority w:val="99"/>
    <w:pPr>
      <w:ind w:left="1400" w:leftChars="14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qFormat/>
    <w:uiPriority w:val="99"/>
    <w:rPr>
      <w:sz w:val="18"/>
      <w:szCs w:val="18"/>
    </w:rPr>
  </w:style>
  <w:style w:type="paragraph" w:customStyle="1" w:styleId="12">
    <w:name w:val="列表段落1"/>
    <w:basedOn w:val="1"/>
    <w:qFormat/>
    <w:uiPriority w:val="99"/>
    <w:pPr>
      <w:ind w:firstLine="420" w:firstLineChars="200"/>
    </w:pPr>
  </w:style>
  <w:style w:type="character" w:customStyle="1" w:styleId="13">
    <w:name w:val="font01"/>
    <w:basedOn w:val="7"/>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Words>
  <Characters>8</Characters>
  <Lines>1</Lines>
  <Paragraphs>1</Paragraphs>
  <TotalTime>5</TotalTime>
  <ScaleCrop>false</ScaleCrop>
  <LinksUpToDate>false</LinksUpToDate>
  <CharactersWithSpaces>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2018-10-23T02:06:00Z</dcterms:created>
  <dc:creator>PC</dc:creator>
  <cp:lastModifiedBy>邱彩霞</cp:lastModifiedBy>
  <dcterms:modified xsi:type="dcterms:W3CDTF">2020-11-04T08:48:27Z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