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napToGrid/>
        <w:spacing w:line="240" w:lineRule="auto"/>
        <w:jc w:val="center"/>
        <w:rPr>
          <w:rFonts w:ascii="宋体" w:hAnsi="宋体" w:eastAsia="宋体"/>
          <w:b/>
          <w:bCs/>
        </w:rPr>
      </w:pPr>
      <w:r>
        <w:rPr>
          <w:rFonts w:hint="eastAsia" w:ascii="宋体" w:hAnsi="宋体" w:eastAsia="宋体"/>
          <w:b/>
          <w:bCs/>
        </w:rPr>
        <w:t>2</w:t>
      </w:r>
      <w:r>
        <w:rPr>
          <w:rFonts w:ascii="宋体" w:hAnsi="宋体" w:eastAsia="宋体"/>
          <w:b/>
          <w:bCs/>
        </w:rPr>
        <w:t>01</w:t>
      </w:r>
      <w:r>
        <w:rPr>
          <w:rFonts w:hint="eastAsia" w:ascii="宋体" w:hAnsi="宋体" w:eastAsia="宋体"/>
          <w:b/>
          <w:bCs/>
        </w:rPr>
        <w:t>8</w:t>
      </w:r>
      <w:r>
        <w:rPr>
          <w:rFonts w:ascii="宋体" w:hAnsi="宋体" w:eastAsia="宋体"/>
          <w:b/>
          <w:bCs/>
        </w:rPr>
        <w:t>年</w:t>
      </w:r>
      <w:r>
        <w:rPr>
          <w:rFonts w:hint="eastAsia" w:ascii="宋体" w:hAnsi="宋体" w:eastAsia="宋体"/>
          <w:b/>
          <w:bCs/>
        </w:rPr>
        <w:t>龙岗区吉华街道办事处</w:t>
      </w:r>
      <w:r>
        <w:rPr>
          <w:rFonts w:ascii="宋体" w:hAnsi="宋体" w:eastAsia="宋体"/>
          <w:b/>
          <w:bCs/>
        </w:rPr>
        <w:t>部门预算</w:t>
      </w:r>
      <w:r>
        <w:rPr>
          <w:rFonts w:hint="eastAsia" w:ascii="宋体" w:hAnsi="宋体" w:eastAsia="宋体"/>
          <w:b/>
          <w:bCs/>
        </w:rPr>
        <w:t>草案</w:t>
      </w:r>
    </w:p>
    <w:p>
      <w:pPr>
        <w:widowControl/>
        <w:spacing w:line="420" w:lineRule="exact"/>
        <w:ind w:firstLine="641" w:firstLineChars="200"/>
        <w:jc w:val="center"/>
        <w:rPr>
          <w:rFonts w:hint="eastAsia" w:ascii="华文仿宋" w:hAnsi="华文仿宋" w:eastAsia="华文仿宋" w:cs="华文仿宋"/>
          <w:b/>
          <w:bCs/>
          <w:sz w:val="32"/>
          <w:szCs w:val="32"/>
          <w:lang w:val="en-US" w:eastAsia="zh-CN"/>
        </w:rPr>
      </w:pPr>
    </w:p>
    <w:p>
      <w:pPr>
        <w:widowControl/>
        <w:spacing w:line="420" w:lineRule="exact"/>
        <w:ind w:firstLine="641" w:firstLineChars="200"/>
        <w:jc w:val="center"/>
        <w:rPr>
          <w:rFonts w:hint="eastAsia" w:ascii="华文仿宋" w:hAnsi="华文仿宋" w:eastAsia="华文仿宋" w:cs="华文仿宋"/>
          <w:b/>
          <w:bCs/>
          <w:sz w:val="32"/>
          <w:szCs w:val="32"/>
          <w:lang w:val="en-US" w:eastAsia="zh-CN"/>
        </w:rPr>
      </w:pPr>
    </w:p>
    <w:p>
      <w:pPr>
        <w:widowControl/>
        <w:spacing w:line="420" w:lineRule="exact"/>
        <w:ind w:firstLine="641" w:firstLineChars="200"/>
        <w:jc w:val="center"/>
        <w:rPr>
          <w:rFonts w:hint="eastAsia" w:ascii="华文仿宋" w:hAnsi="华文仿宋" w:eastAsia="华文仿宋" w:cs="华文仿宋"/>
          <w:b/>
          <w:bCs/>
          <w:sz w:val="32"/>
          <w:szCs w:val="32"/>
          <w:lang w:val="en-US" w:eastAsia="zh-CN"/>
        </w:rPr>
      </w:pPr>
      <w:r>
        <w:rPr>
          <w:rFonts w:hint="eastAsia" w:ascii="华文仿宋" w:hAnsi="华文仿宋" w:eastAsia="华文仿宋" w:cs="华文仿宋"/>
          <w:b/>
          <w:bCs/>
          <w:sz w:val="32"/>
          <w:szCs w:val="32"/>
          <w:lang w:val="en-US" w:eastAsia="zh-CN"/>
        </w:rPr>
        <w:t>目录</w:t>
      </w:r>
    </w:p>
    <w:p>
      <w:pPr>
        <w:widowControl/>
        <w:spacing w:line="420" w:lineRule="exact"/>
        <w:ind w:firstLine="641" w:firstLineChars="200"/>
        <w:jc w:val="center"/>
        <w:rPr>
          <w:rFonts w:hint="eastAsia" w:ascii="华文仿宋" w:hAnsi="华文仿宋" w:eastAsia="华文仿宋" w:cs="华文仿宋"/>
          <w:b/>
          <w:bCs/>
          <w:sz w:val="32"/>
          <w:szCs w:val="32"/>
          <w:lang w:val="en-US" w:eastAsia="zh-CN"/>
        </w:rPr>
      </w:pPr>
    </w:p>
    <w:p>
      <w:pPr>
        <w:widowControl/>
        <w:spacing w:line="420" w:lineRule="exact"/>
        <w:ind w:firstLine="280" w:firstLineChars="100"/>
        <w:jc w:val="left"/>
        <w:rPr>
          <w:rFonts w:hint="eastAsia" w:ascii="华文仿宋" w:hAnsi="华文仿宋" w:eastAsia="华文仿宋" w:cs="华文仿宋"/>
          <w:sz w:val="32"/>
          <w:szCs w:val="32"/>
          <w:lang w:val="en-US" w:eastAsia="zh-CN"/>
        </w:rPr>
      </w:pPr>
      <w:r>
        <w:rPr>
          <w:rFonts w:hint="eastAsia" w:ascii="黑体" w:eastAsia="黑体"/>
          <w:bCs/>
          <w:sz w:val="28"/>
          <w:szCs w:val="28"/>
        </w:rPr>
        <w:t>第一部分  部门概况</w:t>
      </w:r>
    </w:p>
    <w:p>
      <w:pPr>
        <w:spacing w:line="420" w:lineRule="exact"/>
        <w:ind w:firstLine="413" w:firstLineChars="196"/>
        <w:jc w:val="left"/>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一、</w:t>
      </w:r>
      <w:r>
        <w:rPr>
          <w:rFonts w:hint="eastAsia" w:asciiTheme="minorEastAsia" w:hAnsiTheme="minorEastAsia" w:eastAsiaTheme="minorEastAsia" w:cstheme="minorEastAsia"/>
          <w:b/>
          <w:sz w:val="21"/>
          <w:szCs w:val="21"/>
          <w:lang w:eastAsia="zh-CN"/>
        </w:rPr>
        <w:t>部门</w:t>
      </w:r>
      <w:r>
        <w:rPr>
          <w:rFonts w:hint="eastAsia" w:asciiTheme="minorEastAsia" w:hAnsiTheme="minorEastAsia" w:eastAsiaTheme="minorEastAsia" w:cstheme="minorEastAsia"/>
          <w:b/>
          <w:sz w:val="21"/>
          <w:szCs w:val="21"/>
        </w:rPr>
        <w:t>主要职能</w:t>
      </w:r>
    </w:p>
    <w:p>
      <w:pPr>
        <w:spacing w:line="420" w:lineRule="exact"/>
        <w:ind w:firstLine="413" w:firstLineChars="196"/>
        <w:jc w:val="left"/>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二、部门预算单位构成及人员编制、交通工具情况</w:t>
      </w:r>
    </w:p>
    <w:p>
      <w:pPr>
        <w:spacing w:line="420" w:lineRule="exact"/>
        <w:ind w:firstLine="422" w:firstLineChars="200"/>
        <w:jc w:val="left"/>
        <w:rPr>
          <w:rFonts w:hint="eastAsia" w:asciiTheme="minorEastAsia" w:hAnsiTheme="minorEastAsia" w:eastAsiaTheme="minorEastAsia" w:cstheme="minorEastAsia"/>
          <w:bCs/>
          <w:sz w:val="21"/>
          <w:szCs w:val="21"/>
          <w:highlight w:val="none"/>
        </w:rPr>
      </w:pPr>
      <w:r>
        <w:rPr>
          <w:rFonts w:hint="eastAsia" w:asciiTheme="minorEastAsia" w:hAnsiTheme="minorEastAsia" w:eastAsiaTheme="minorEastAsia" w:cstheme="minorEastAsia"/>
          <w:b/>
          <w:sz w:val="21"/>
          <w:szCs w:val="21"/>
          <w:highlight w:val="none"/>
        </w:rPr>
        <w:t>三、201</w:t>
      </w:r>
      <w:r>
        <w:rPr>
          <w:rFonts w:hint="eastAsia" w:asciiTheme="minorEastAsia" w:hAnsiTheme="minorEastAsia" w:eastAsiaTheme="minorEastAsia" w:cstheme="minorEastAsia"/>
          <w:b/>
          <w:sz w:val="21"/>
          <w:szCs w:val="21"/>
          <w:highlight w:val="none"/>
          <w:lang w:val="en-US" w:eastAsia="zh-CN"/>
        </w:rPr>
        <w:t>8</w:t>
      </w:r>
      <w:r>
        <w:rPr>
          <w:rFonts w:hint="eastAsia" w:asciiTheme="minorEastAsia" w:hAnsiTheme="minorEastAsia" w:eastAsiaTheme="minorEastAsia" w:cstheme="minorEastAsia"/>
          <w:b/>
          <w:sz w:val="21"/>
          <w:szCs w:val="21"/>
          <w:highlight w:val="none"/>
        </w:rPr>
        <w:t>年主要工作目标</w:t>
      </w:r>
    </w:p>
    <w:p>
      <w:pPr>
        <w:adjustRightInd w:val="0"/>
        <w:snapToGrid w:val="0"/>
        <w:spacing w:line="560" w:lineRule="exact"/>
        <w:ind w:firstLine="280" w:firstLineChars="100"/>
        <w:jc w:val="left"/>
        <w:rPr>
          <w:rFonts w:hint="eastAsia" w:ascii="宋体" w:hAnsi="宋体"/>
          <w:b/>
          <w:bCs/>
          <w:szCs w:val="21"/>
        </w:rPr>
      </w:pPr>
      <w:r>
        <w:rPr>
          <w:rFonts w:hint="eastAsia" w:ascii="黑体" w:hAnsi="华文仿宋" w:eastAsia="黑体"/>
          <w:bCs/>
          <w:sz w:val="28"/>
          <w:szCs w:val="28"/>
        </w:rPr>
        <w:t>第二部分  部门预算安排情况说明</w:t>
      </w:r>
    </w:p>
    <w:p>
      <w:pPr>
        <w:spacing w:line="420" w:lineRule="exact"/>
        <w:ind w:firstLine="413" w:firstLineChars="196"/>
        <w:jc w:val="left"/>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一、部门预算收支总体情况</w:t>
      </w:r>
    </w:p>
    <w:p>
      <w:pPr>
        <w:spacing w:line="420" w:lineRule="exact"/>
        <w:ind w:firstLine="422" w:firstLineChars="200"/>
        <w:jc w:val="left"/>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二、一般公共预算支出预算情况</w:t>
      </w:r>
    </w:p>
    <w:p>
      <w:pPr>
        <w:spacing w:line="420" w:lineRule="exact"/>
        <w:ind w:firstLine="422" w:firstLineChars="200"/>
        <w:jc w:val="left"/>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三、政府性基金预算支出预算情况</w:t>
      </w:r>
    </w:p>
    <w:p>
      <w:pPr>
        <w:spacing w:line="420" w:lineRule="exact"/>
        <w:ind w:firstLine="413" w:firstLineChars="196"/>
        <w:jc w:val="left"/>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四、一般公共预算“三公”经费支出情况</w:t>
      </w:r>
    </w:p>
    <w:p>
      <w:pPr>
        <w:shd w:val="solid" w:color="FFFFFF" w:fill="auto"/>
        <w:autoSpaceDN w:val="0"/>
        <w:spacing w:line="420" w:lineRule="exact"/>
        <w:ind w:firstLine="390"/>
        <w:jc w:val="left"/>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sz w:val="21"/>
          <w:szCs w:val="21"/>
        </w:rPr>
        <w:t>五、</w:t>
      </w:r>
      <w:r>
        <w:rPr>
          <w:rFonts w:hint="eastAsia" w:asciiTheme="minorEastAsia" w:hAnsiTheme="minorEastAsia" w:eastAsiaTheme="minorEastAsia" w:cstheme="minorEastAsia"/>
          <w:b/>
          <w:bCs/>
          <w:sz w:val="21"/>
          <w:szCs w:val="21"/>
        </w:rPr>
        <w:t>政府采购预算情况</w:t>
      </w:r>
    </w:p>
    <w:p>
      <w:pPr>
        <w:spacing w:line="420" w:lineRule="exact"/>
        <w:ind w:firstLine="422" w:firstLineChars="200"/>
        <w:jc w:val="left"/>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六、机关运行经费财政拨款预算情况</w:t>
      </w:r>
    </w:p>
    <w:p>
      <w:pPr>
        <w:spacing w:line="400" w:lineRule="exact"/>
        <w:ind w:firstLine="422" w:firstLineChars="200"/>
        <w:jc w:val="left"/>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七、国有资本经营支出预算情况</w:t>
      </w:r>
    </w:p>
    <w:p>
      <w:pPr>
        <w:spacing w:line="400" w:lineRule="exact"/>
        <w:ind w:firstLine="422" w:firstLineChars="200"/>
        <w:jc w:val="left"/>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八、上级专项转移支付支出预算情况</w:t>
      </w:r>
    </w:p>
    <w:p>
      <w:pPr>
        <w:spacing w:line="400" w:lineRule="exact"/>
        <w:ind w:firstLine="422" w:firstLineChars="200"/>
        <w:jc w:val="left"/>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九、预算绩效管理情况</w:t>
      </w:r>
    </w:p>
    <w:p>
      <w:pPr>
        <w:widowControl/>
        <w:numPr>
          <w:ilvl w:val="0"/>
          <w:numId w:val="1"/>
        </w:numPr>
        <w:spacing w:line="400" w:lineRule="exact"/>
        <w:ind w:firstLine="42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bCs/>
          <w:sz w:val="21"/>
          <w:szCs w:val="21"/>
        </w:rPr>
        <w:t>国有资产占用情况说明</w:t>
      </w:r>
    </w:p>
    <w:p>
      <w:pPr>
        <w:spacing w:line="420" w:lineRule="exact"/>
        <w:ind w:firstLine="280" w:firstLineChars="100"/>
        <w:jc w:val="left"/>
        <w:rPr>
          <w:rFonts w:hint="eastAsia" w:ascii="黑体" w:hAnsi="宋体" w:eastAsia="黑体"/>
          <w:sz w:val="28"/>
          <w:szCs w:val="28"/>
        </w:rPr>
      </w:pPr>
      <w:r>
        <w:rPr>
          <w:rFonts w:hint="eastAsia" w:ascii="黑体" w:hAnsi="宋体" w:eastAsia="黑体"/>
          <w:sz w:val="28"/>
          <w:szCs w:val="28"/>
        </w:rPr>
        <w:t>第三部分  情况说明</w:t>
      </w:r>
    </w:p>
    <w:p>
      <w:pPr>
        <w:pStyle w:val="10"/>
        <w:numPr>
          <w:ilvl w:val="0"/>
          <w:numId w:val="2"/>
        </w:numPr>
        <w:spacing w:line="420" w:lineRule="exact"/>
        <w:ind w:firstLineChars="0"/>
        <w:jc w:val="left"/>
        <w:rPr>
          <w:rFonts w:hint="eastAsia" w:ascii="宋体" w:hAnsi="宋体" w:cs="宋体" w:eastAsiaTheme="minorEastAsia"/>
          <w:b/>
          <w:bCs/>
          <w:kern w:val="2"/>
          <w:sz w:val="21"/>
          <w:szCs w:val="22"/>
          <w:lang w:val="en-US" w:eastAsia="zh-CN" w:bidi="ar-SA"/>
        </w:rPr>
      </w:pPr>
      <w:r>
        <w:rPr>
          <w:rFonts w:hint="eastAsia" w:ascii="宋体" w:hAnsi="宋体" w:cs="宋体" w:eastAsiaTheme="minorEastAsia"/>
          <w:b/>
          <w:bCs/>
          <w:kern w:val="2"/>
          <w:sz w:val="21"/>
          <w:szCs w:val="22"/>
          <w:lang w:val="en-US" w:eastAsia="zh-CN" w:bidi="ar-SA"/>
        </w:rPr>
        <w:t>名词解释</w:t>
      </w:r>
    </w:p>
    <w:p>
      <w:pPr>
        <w:pStyle w:val="10"/>
        <w:numPr>
          <w:ilvl w:val="0"/>
          <w:numId w:val="2"/>
        </w:numPr>
        <w:spacing w:line="420" w:lineRule="exact"/>
        <w:ind w:firstLineChars="0"/>
        <w:jc w:val="left"/>
        <w:rPr>
          <w:rFonts w:hint="eastAsia" w:ascii="宋体" w:hAnsi="宋体" w:cs="宋体" w:eastAsiaTheme="minorEastAsia"/>
          <w:b/>
          <w:bCs/>
          <w:kern w:val="2"/>
          <w:sz w:val="21"/>
          <w:szCs w:val="22"/>
          <w:lang w:val="en-US" w:eastAsia="zh-CN" w:bidi="ar-SA"/>
        </w:rPr>
      </w:pPr>
      <w:r>
        <w:rPr>
          <w:rFonts w:hint="eastAsia" w:ascii="宋体" w:hAnsi="宋体" w:cs="宋体" w:eastAsiaTheme="minorEastAsia"/>
          <w:b/>
          <w:bCs/>
          <w:kern w:val="2"/>
          <w:sz w:val="21"/>
          <w:szCs w:val="22"/>
          <w:lang w:val="en-US" w:eastAsia="zh-CN" w:bidi="ar-SA"/>
        </w:rPr>
        <w:t>其他情况说明</w:t>
      </w:r>
    </w:p>
    <w:p>
      <w:pPr>
        <w:pStyle w:val="4"/>
        <w:keepNext w:val="0"/>
        <w:keepLines w:val="0"/>
        <w:widowControl/>
        <w:suppressLineNumbers w:val="0"/>
        <w:shd w:val="clear" w:fill="FFFFFF"/>
        <w:spacing w:before="0" w:beforeAutospacing="1" w:after="0" w:afterAutospacing="1" w:line="420" w:lineRule="atLeast"/>
        <w:ind w:left="872" w:right="0" w:hanging="450"/>
        <w:jc w:val="left"/>
        <w:rPr>
          <w:rFonts w:hint="eastAsia" w:ascii="黑体" w:hAnsi="黑体" w:eastAsia="黑体" w:cs="黑体"/>
          <w:b w:val="0"/>
          <w:bCs w:val="0"/>
          <w:i w:val="0"/>
          <w:caps w:val="0"/>
          <w:color w:val="000000"/>
          <w:spacing w:val="0"/>
          <w:sz w:val="28"/>
          <w:szCs w:val="28"/>
        </w:rPr>
      </w:pPr>
    </w:p>
    <w:p>
      <w:pPr>
        <w:widowControl/>
        <w:snapToGrid/>
        <w:spacing w:line="240" w:lineRule="auto"/>
        <w:jc w:val="center"/>
        <w:rPr>
          <w:rFonts w:ascii="宋体" w:hAnsi="宋体" w:eastAsia="宋体"/>
          <w:b/>
          <w:bCs/>
        </w:rPr>
      </w:pPr>
    </w:p>
    <w:p>
      <w:pPr>
        <w:spacing w:line="420" w:lineRule="exact"/>
        <w:ind w:firstLine="5208" w:firstLineChars="2480"/>
        <w:rPr>
          <w:rFonts w:ascii="宋体" w:hAnsi="宋体" w:eastAsia="宋体" w:cs="宋体"/>
          <w:sz w:val="21"/>
          <w:szCs w:val="21"/>
        </w:rPr>
      </w:pPr>
      <w:r>
        <w:rPr>
          <w:rFonts w:hint="eastAsia" w:ascii="宋体" w:hAnsi="宋体" w:eastAsia="宋体" w:cs="宋体"/>
          <w:sz w:val="21"/>
          <w:szCs w:val="21"/>
        </w:rPr>
        <w:t xml:space="preserve"> </w:t>
      </w:r>
    </w:p>
    <w:p>
      <w:pPr>
        <w:widowControl/>
        <w:snapToGrid/>
        <w:spacing w:line="240" w:lineRule="auto"/>
        <w:jc w:val="center"/>
        <w:rPr>
          <w:rFonts w:hint="eastAsia" w:ascii="黑体" w:eastAsia="黑体"/>
          <w:bCs/>
          <w:sz w:val="28"/>
          <w:szCs w:val="28"/>
        </w:rPr>
      </w:pPr>
    </w:p>
    <w:p>
      <w:pPr>
        <w:widowControl/>
        <w:snapToGrid/>
        <w:spacing w:line="240" w:lineRule="auto"/>
        <w:jc w:val="center"/>
        <w:rPr>
          <w:rFonts w:hint="eastAsia" w:ascii="黑体" w:eastAsia="黑体"/>
          <w:bCs/>
          <w:sz w:val="28"/>
          <w:szCs w:val="28"/>
        </w:rPr>
      </w:pPr>
    </w:p>
    <w:p>
      <w:pPr>
        <w:widowControl/>
        <w:snapToGrid/>
        <w:spacing w:line="240" w:lineRule="auto"/>
        <w:jc w:val="center"/>
        <w:rPr>
          <w:rFonts w:hint="eastAsia" w:ascii="黑体" w:eastAsia="黑体"/>
          <w:bCs/>
          <w:sz w:val="28"/>
          <w:szCs w:val="28"/>
        </w:rPr>
      </w:pPr>
    </w:p>
    <w:p>
      <w:pPr>
        <w:widowControl/>
        <w:snapToGrid/>
        <w:spacing w:line="240" w:lineRule="auto"/>
        <w:jc w:val="center"/>
        <w:rPr>
          <w:rFonts w:hint="eastAsia" w:ascii="黑体" w:eastAsia="黑体"/>
          <w:bCs/>
          <w:sz w:val="28"/>
          <w:szCs w:val="28"/>
        </w:rPr>
      </w:pPr>
    </w:p>
    <w:p>
      <w:pPr>
        <w:widowControl/>
        <w:snapToGrid/>
        <w:spacing w:line="240" w:lineRule="auto"/>
        <w:jc w:val="center"/>
        <w:rPr>
          <w:rFonts w:ascii="黑体" w:eastAsia="黑体"/>
          <w:bCs/>
          <w:sz w:val="28"/>
          <w:szCs w:val="28"/>
        </w:rPr>
      </w:pPr>
      <w:r>
        <w:rPr>
          <w:rFonts w:hint="eastAsia" w:ascii="黑体" w:eastAsia="黑体"/>
          <w:bCs/>
          <w:sz w:val="28"/>
          <w:szCs w:val="28"/>
        </w:rPr>
        <w:t>第一部分  部门概况</w:t>
      </w:r>
    </w:p>
    <w:p>
      <w:pPr>
        <w:widowControl/>
        <w:snapToGrid/>
        <w:spacing w:line="240" w:lineRule="auto"/>
        <w:jc w:val="center"/>
        <w:rPr>
          <w:rFonts w:ascii="黑体" w:eastAsia="黑体"/>
          <w:bCs/>
          <w:sz w:val="28"/>
          <w:szCs w:val="28"/>
        </w:rPr>
      </w:pPr>
    </w:p>
    <w:p>
      <w:pPr>
        <w:numPr>
          <w:ilvl w:val="0"/>
          <w:numId w:val="3"/>
        </w:numPr>
        <w:snapToGrid/>
        <w:spacing w:line="420" w:lineRule="exact"/>
        <w:ind w:firstLine="422" w:firstLineChars="200"/>
        <w:rPr>
          <w:rFonts w:ascii="宋体" w:hAnsi="宋体" w:eastAsia="宋体" w:cs="宋体"/>
          <w:b/>
          <w:sz w:val="21"/>
          <w:szCs w:val="21"/>
        </w:rPr>
      </w:pPr>
      <w:r>
        <w:rPr>
          <w:rFonts w:hint="eastAsia" w:ascii="宋体" w:hAnsi="宋体" w:eastAsia="宋体" w:cs="宋体"/>
          <w:b/>
          <w:sz w:val="21"/>
          <w:szCs w:val="21"/>
        </w:rPr>
        <w:t>部门主要职能</w:t>
      </w:r>
    </w:p>
    <w:p>
      <w:pPr>
        <w:snapToGrid/>
        <w:spacing w:line="420" w:lineRule="exact"/>
        <w:ind w:firstLine="420" w:firstLineChars="200"/>
        <w:rPr>
          <w:rFonts w:ascii="宋体" w:hAnsi="宋体" w:eastAsia="宋体" w:cs="宋体"/>
          <w:bCs/>
          <w:sz w:val="21"/>
          <w:szCs w:val="21"/>
        </w:rPr>
      </w:pPr>
      <w:r>
        <w:rPr>
          <w:rFonts w:hint="eastAsia" w:ascii="宋体" w:hAnsi="宋体" w:eastAsia="宋体" w:cs="宋体"/>
          <w:bCs/>
          <w:sz w:val="21"/>
          <w:szCs w:val="21"/>
        </w:rPr>
        <w:t>组织领导和综合协调辖区内的城市管理、安全生产、社区建设、社会事务、精神文明建设等社会管理工作；在区有关职能部门的指导下，领导指挥街道行政执法队开展综合执法活动；统筹组织和监督检查市、区政府职能部门在街道的派出机构以及区政府有关职能部门在街道开展的管理、服务和行政执法工作；落实辖区经济和社会发展规划，加强市场秩序监管，营造公平竞争的市场环境；组织领导社区工作站开展工作，指导和支持社区居委会依法开展居民自治活动。</w:t>
      </w:r>
    </w:p>
    <w:p>
      <w:pPr>
        <w:snapToGrid/>
        <w:spacing w:line="420" w:lineRule="exact"/>
        <w:ind w:firstLine="422" w:firstLineChars="200"/>
        <w:rPr>
          <w:rFonts w:ascii="宋体" w:hAnsi="宋体" w:eastAsia="宋体" w:cs="宋体"/>
          <w:b/>
          <w:bCs/>
          <w:sz w:val="21"/>
          <w:szCs w:val="21"/>
        </w:rPr>
      </w:pPr>
      <w:r>
        <w:rPr>
          <w:rFonts w:hint="eastAsia" w:ascii="宋体" w:hAnsi="宋体" w:eastAsia="宋体" w:cs="宋体"/>
          <w:b/>
          <w:bCs/>
          <w:sz w:val="21"/>
          <w:szCs w:val="21"/>
        </w:rPr>
        <w:t>二、部门预算单位构成及人员编制、交通工具情况</w:t>
      </w:r>
    </w:p>
    <w:p>
      <w:pPr>
        <w:snapToGrid/>
        <w:spacing w:line="420" w:lineRule="exact"/>
        <w:ind w:firstLine="420" w:firstLineChars="200"/>
        <w:rPr>
          <w:rFonts w:ascii="宋体" w:hAnsi="宋体" w:eastAsia="宋体" w:cs="宋体"/>
          <w:bCs/>
          <w:sz w:val="21"/>
          <w:szCs w:val="21"/>
        </w:rPr>
      </w:pPr>
      <w:r>
        <w:rPr>
          <w:rFonts w:hint="eastAsia" w:ascii="宋体" w:hAnsi="宋体" w:eastAsia="宋体" w:cs="宋体"/>
          <w:bCs/>
          <w:sz w:val="21"/>
          <w:szCs w:val="21"/>
        </w:rPr>
        <w:t>纳入龙岗区吉华街道办事处2018年部门预算编制范围的二级预算单位包括吉华街道办事处本级、行政事务中心、党建服务中心、社区网格管理中心、公共事务中心、土地整备中心、市政事务中心、水务管理中心、食物环境监管中心、执法队共12个基层单位。龙岗区吉华街道办事处总编制数193人，实有人数160人；离退休2人。龙岗区吉华街道办事处所属各预算单位共有车辆49辆，其中：2017年深化公务用车制度改革后龙岗区吉华街道办事处保留车辆34辆、未实行公务用车改革的下属事业单位实有车辆15辆。包括：一般公务用车9辆、一般执法执勤用车25辆、特种专业技术用车11辆，其他车辆4辆。</w:t>
      </w:r>
    </w:p>
    <w:p>
      <w:pPr>
        <w:snapToGrid/>
        <w:spacing w:line="420" w:lineRule="exact"/>
        <w:ind w:firstLine="422" w:firstLineChars="200"/>
        <w:rPr>
          <w:rFonts w:ascii="宋体" w:hAnsi="宋体" w:eastAsia="宋体" w:cs="宋体"/>
          <w:b/>
          <w:bCs/>
          <w:sz w:val="21"/>
          <w:szCs w:val="21"/>
        </w:rPr>
      </w:pPr>
      <w:r>
        <w:rPr>
          <w:rFonts w:hint="eastAsia" w:ascii="宋体" w:hAnsi="宋体" w:eastAsia="宋体" w:cs="宋体"/>
          <w:b/>
          <w:bCs/>
          <w:sz w:val="21"/>
          <w:szCs w:val="21"/>
        </w:rPr>
        <w:t>三、2018年主要工作目标</w:t>
      </w:r>
    </w:p>
    <w:p>
      <w:pPr>
        <w:snapToGrid/>
        <w:spacing w:line="420" w:lineRule="exact"/>
        <w:ind w:firstLine="315" w:firstLineChars="150"/>
        <w:rPr>
          <w:rFonts w:ascii="宋体" w:hAnsi="宋体" w:eastAsia="宋体" w:cs="宋体"/>
          <w:bCs/>
          <w:sz w:val="21"/>
          <w:szCs w:val="21"/>
        </w:rPr>
      </w:pPr>
      <w:r>
        <w:rPr>
          <w:rFonts w:hint="eastAsia" w:ascii="宋体" w:hAnsi="宋体" w:eastAsia="宋体" w:cs="宋体"/>
          <w:bCs/>
          <w:sz w:val="21"/>
          <w:szCs w:val="21"/>
        </w:rPr>
        <w:t xml:space="preserve"> 2018年是深圳改革开放40周年，也是“东进战略”攻坚期，吉华街道将努力把握深圳打造科创中心的历史机遇，积极投身龙岗建设“深圳东部中心”的战略部署，总体工作要求和主要目标是将“打基础、抓重点、补短板”作为街道全局工作主线，全面提升辖区经济创新力、安全保障力、环境承载力、民生普惠力和党建引领力，争取各项事业适应“新时代”、迈上新台阶、实现新发展。</w:t>
      </w:r>
    </w:p>
    <w:p>
      <w:pPr>
        <w:snapToGrid/>
        <w:spacing w:line="420" w:lineRule="exact"/>
        <w:rPr>
          <w:rFonts w:ascii="黑体" w:eastAsia="黑体"/>
          <w:bCs/>
          <w:sz w:val="28"/>
          <w:szCs w:val="28"/>
        </w:rPr>
      </w:pPr>
    </w:p>
    <w:p>
      <w:pPr>
        <w:snapToGrid/>
        <w:spacing w:line="420" w:lineRule="exact"/>
        <w:jc w:val="center"/>
        <w:rPr>
          <w:rFonts w:ascii="黑体" w:eastAsia="黑体"/>
          <w:bCs/>
          <w:sz w:val="28"/>
          <w:szCs w:val="28"/>
        </w:rPr>
      </w:pPr>
      <w:r>
        <w:rPr>
          <w:rFonts w:hint="eastAsia" w:ascii="黑体" w:eastAsia="黑体"/>
          <w:bCs/>
          <w:sz w:val="28"/>
          <w:szCs w:val="28"/>
        </w:rPr>
        <w:t>第二部分  部门预算安排情况说明</w:t>
      </w:r>
    </w:p>
    <w:p>
      <w:pPr>
        <w:widowControl/>
        <w:snapToGrid/>
        <w:spacing w:line="420" w:lineRule="exact"/>
        <w:jc w:val="center"/>
        <w:rPr>
          <w:rFonts w:ascii="宋体" w:hAnsi="宋体" w:eastAsia="宋体" w:cs="宋体"/>
          <w:bCs/>
          <w:sz w:val="21"/>
          <w:szCs w:val="21"/>
        </w:rPr>
      </w:pPr>
    </w:p>
    <w:p>
      <w:pPr>
        <w:spacing w:line="420" w:lineRule="exact"/>
        <w:ind w:firstLine="413" w:firstLineChars="196"/>
        <w:rPr>
          <w:rFonts w:ascii="宋体" w:hAnsi="宋体" w:eastAsia="宋体" w:cs="宋体"/>
          <w:b/>
          <w:bCs/>
          <w:sz w:val="21"/>
          <w:szCs w:val="21"/>
        </w:rPr>
      </w:pPr>
      <w:r>
        <w:rPr>
          <w:rFonts w:hint="eastAsia" w:ascii="宋体" w:hAnsi="宋体" w:eastAsia="宋体" w:cs="宋体"/>
          <w:b/>
          <w:bCs/>
          <w:sz w:val="21"/>
          <w:szCs w:val="21"/>
        </w:rPr>
        <w:t>一、部门预算收支总体情况</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（一）2018年收入预算情况。2018年吉华街道办事处部门预算收入52,378万元（详见表二），其中：财政拨款收入（财政补助收入）52,378万元（包括：一般公共预算46,830万元、政府性基金预算5,548万元）。</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二）2018年支出预算情况。2018年吉华街道办事处部门预算支出52,378万元（详见表三）。包括：基本支出16,771万元，其中：工资福利支出6,486万元、基本公用支出10,163万元、对个人和家庭的补助支出122万元；项目支出35,607万元。</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（三）预算收支增（减）主要原因说明：根据市、区街道分设工作部署，吉华街道办为新设街道，2017年未作为预算编制主体独立编制部门预算，因此无上年预算数。</w:t>
      </w:r>
    </w:p>
    <w:p>
      <w:pPr>
        <w:spacing w:line="420" w:lineRule="exact"/>
        <w:ind w:firstLine="413" w:firstLineChars="196"/>
        <w:rPr>
          <w:rFonts w:ascii="宋体" w:hAnsi="宋体" w:eastAsia="宋体" w:cs="宋体"/>
          <w:b/>
          <w:bCs/>
          <w:color w:val="000000" w:themeColor="text1"/>
          <w:sz w:val="21"/>
          <w:szCs w:val="21"/>
        </w:rPr>
      </w:pPr>
      <w:r>
        <w:rPr>
          <w:rFonts w:hint="eastAsia" w:ascii="宋体" w:hAnsi="宋体" w:eastAsia="宋体" w:cs="宋体"/>
          <w:b/>
          <w:bCs/>
          <w:color w:val="000000" w:themeColor="text1"/>
          <w:sz w:val="21"/>
          <w:szCs w:val="21"/>
        </w:rPr>
        <w:t>二、一般公共预算支出情况</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龙岗区吉华街道办事处2018年一般公共预算安排支出46,830万元（详见表五），包括：基本支出16,771万元，其中：工资福利支出6,486万元、基本公用支出10,163万元、对个人和家庭的补助支出122万元；项目支出30,059万元。按支出预算的功能分类，龙岗区吉华街道办事处2018年一般公共预算安排用于以下方面：</w:t>
      </w:r>
    </w:p>
    <w:p>
      <w:pPr>
        <w:numPr>
          <w:ilvl w:val="0"/>
          <w:numId w:val="4"/>
        </w:num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一般公共服务支出4,258万元，占9.09%；</w:t>
      </w:r>
    </w:p>
    <w:p>
      <w:pPr>
        <w:numPr>
          <w:ilvl w:val="0"/>
          <w:numId w:val="4"/>
        </w:num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公共安全支出2,662万元，占5.68%；</w:t>
      </w:r>
    </w:p>
    <w:p>
      <w:pPr>
        <w:numPr>
          <w:ilvl w:val="0"/>
          <w:numId w:val="4"/>
        </w:num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文化体育与传媒支出590万元，占1.26%；</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（四）社会保障和就业支出1,596万元，占3.41%；</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（五）医疗卫生与计划生育支出889万元，占1.90%；</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（六）城乡社区支出30,986万元，占66.17%；</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（七）农林水支出909万元，占1.94%；</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（八）资源勘探信息等支出2,723万元，占5.81%；</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（九）住房保障支出717万元，占1.53%；</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（十）其他支出1,500万元，占3.20% 。</w:t>
      </w:r>
    </w:p>
    <w:p>
      <w:pPr>
        <w:spacing w:line="420" w:lineRule="exact"/>
        <w:ind w:firstLine="413" w:firstLineChars="196"/>
        <w:rPr>
          <w:rFonts w:ascii="宋体" w:hAnsi="宋体" w:eastAsia="宋体" w:cs="宋体"/>
          <w:b/>
          <w:bCs/>
          <w:color w:val="000000" w:themeColor="text1"/>
          <w:sz w:val="21"/>
          <w:szCs w:val="21"/>
        </w:rPr>
      </w:pPr>
      <w:r>
        <w:rPr>
          <w:rFonts w:hint="eastAsia" w:ascii="宋体" w:hAnsi="宋体" w:eastAsia="宋体" w:cs="宋体"/>
          <w:b/>
          <w:bCs/>
          <w:color w:val="000000" w:themeColor="text1"/>
          <w:sz w:val="21"/>
          <w:szCs w:val="21"/>
        </w:rPr>
        <w:t>三、政府性基金预算支出预算情况</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龙岗区吉华街道办事处2018年政府性基金预算支出5,548万元(详见表七),其中:项目支出5,548万元。按支出预算的功能分类，龙岗区吉华街道办事处2018年政府性基金安排用于城乡社区支出5,548万元，占100% 。</w:t>
      </w:r>
    </w:p>
    <w:p>
      <w:pPr>
        <w:spacing w:line="420" w:lineRule="exact"/>
        <w:ind w:firstLine="413" w:firstLineChars="196"/>
        <w:rPr>
          <w:rFonts w:ascii="宋体" w:hAnsi="宋体" w:eastAsia="宋体" w:cs="宋体"/>
          <w:b/>
          <w:bCs/>
          <w:color w:val="000000" w:themeColor="text1"/>
          <w:sz w:val="21"/>
          <w:szCs w:val="21"/>
        </w:rPr>
      </w:pPr>
      <w:r>
        <w:rPr>
          <w:rFonts w:hint="eastAsia" w:ascii="宋体" w:hAnsi="宋体" w:eastAsia="宋体" w:cs="宋体"/>
          <w:b/>
          <w:bCs/>
          <w:color w:val="000000" w:themeColor="text1"/>
          <w:sz w:val="21"/>
          <w:szCs w:val="21"/>
        </w:rPr>
        <w:t>四、一般公共预算“三公”经费支出情况</w:t>
      </w:r>
    </w:p>
    <w:p>
      <w:pPr>
        <w:spacing w:line="420" w:lineRule="exact"/>
        <w:ind w:firstLine="420" w:firstLineChars="200"/>
        <w:rPr>
          <w:rFonts w:asciiTheme="majorEastAsia" w:hAnsiTheme="majorEastAsia" w:eastAsiaTheme="majorEastAsia"/>
          <w:color w:val="000000" w:themeColor="text1"/>
          <w:sz w:val="21"/>
          <w:szCs w:val="21"/>
        </w:rPr>
      </w:pPr>
      <w:r>
        <w:rPr>
          <w:rFonts w:hint="eastAsia" w:ascii="宋体" w:hAnsi="宋体" w:eastAsia="宋体" w:cs="宋体"/>
          <w:bCs/>
          <w:color w:val="000000" w:themeColor="text1"/>
          <w:sz w:val="21"/>
          <w:szCs w:val="21"/>
        </w:rPr>
        <w:t>龙岗区吉华街道办事处2018年部门预算一般公共预算安排“三公”经费预算</w:t>
      </w:r>
      <w:r>
        <w:rPr>
          <w:rFonts w:hint="eastAsia" w:ascii="宋体" w:hAnsi="宋体" w:eastAsia="宋体" w:cs="宋体"/>
          <w:color w:val="000000" w:themeColor="text1"/>
          <w:sz w:val="18"/>
          <w:szCs w:val="18"/>
        </w:rPr>
        <w:t>264.90</w:t>
      </w:r>
      <w:r>
        <w:rPr>
          <w:rFonts w:hint="eastAsia" w:ascii="宋体" w:hAnsi="宋体" w:eastAsia="宋体" w:cs="宋体"/>
          <w:bCs/>
          <w:color w:val="000000" w:themeColor="text1"/>
          <w:sz w:val="21"/>
          <w:szCs w:val="21"/>
        </w:rPr>
        <w:t>万元（详见表八）。其中：</w:t>
      </w:r>
      <w:r>
        <w:rPr>
          <w:rFonts w:hint="eastAsia" w:ascii="宋体" w:hAnsi="宋体" w:eastAsia="宋体" w:cs="宋体"/>
          <w:bCs/>
          <w:color w:val="000000" w:themeColor="text1"/>
          <w:sz w:val="21"/>
          <w:szCs w:val="21"/>
        </w:rPr>
        <w:br w:type="textWrapping"/>
      </w:r>
      <w:r>
        <w:rPr>
          <w:rFonts w:hint="eastAsia" w:ascii="宋体" w:hAnsi="宋体" w:eastAsia="宋体" w:cs="宋体"/>
          <w:bCs/>
          <w:color w:val="000000" w:themeColor="text1"/>
          <w:sz w:val="21"/>
          <w:szCs w:val="21"/>
        </w:rPr>
        <w:t xml:space="preserve">    （一）因公出国（境）费用。2018年预算数5.00万元，</w:t>
      </w:r>
      <w:r>
        <w:rPr>
          <w:rFonts w:hint="eastAsia" w:asciiTheme="majorEastAsia" w:hAnsiTheme="majorEastAsia" w:eastAsiaTheme="majorEastAsia"/>
          <w:color w:val="000000" w:themeColor="text1"/>
          <w:sz w:val="21"/>
          <w:szCs w:val="21"/>
        </w:rPr>
        <w:t>根据街道工作需要，区财政统一预留街道因公出国（境）经费5.00万元。主要用于统战工作。</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（二）公务接待费。2018年预算数10.00万元，主要用于相关部门来街道交流学习、检查指导工作等的接待支出。</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三）公务用车购置和运行维护费。2018年预算数249.90万元，其中：公务用车购置费2018年预算数0万元；公务用车运行维护费2018年预算数249.90万元。主要用于街道办事处本级及下属单位执行公务和开展基层工作等业务活动所开支的公务用车运行支出。</w:t>
      </w:r>
    </w:p>
    <w:p>
      <w:pPr>
        <w:spacing w:line="420" w:lineRule="exact"/>
        <w:ind w:firstLine="413" w:firstLineChars="196"/>
        <w:rPr>
          <w:rFonts w:ascii="宋体" w:hAnsi="宋体" w:eastAsia="宋体" w:cs="宋体"/>
          <w:b/>
          <w:bCs/>
          <w:color w:val="000000" w:themeColor="text1"/>
          <w:sz w:val="21"/>
          <w:szCs w:val="21"/>
        </w:rPr>
      </w:pPr>
      <w:r>
        <w:rPr>
          <w:rFonts w:hint="eastAsia" w:ascii="宋体" w:hAnsi="宋体" w:eastAsia="宋体" w:cs="宋体"/>
          <w:b/>
          <w:bCs/>
          <w:color w:val="000000" w:themeColor="text1"/>
          <w:sz w:val="21"/>
          <w:szCs w:val="21"/>
        </w:rPr>
        <w:t>五、政府采购预算情况</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2018年吉华街道办事处政府采购预算总额7,431.67万元，其中：政府采购货物预算328.56万元、政府采购服务预算7,103.11万元（详见表九）。</w:t>
      </w:r>
    </w:p>
    <w:p>
      <w:pPr>
        <w:spacing w:line="420" w:lineRule="exact"/>
        <w:ind w:firstLine="422" w:firstLineChars="200"/>
        <w:rPr>
          <w:rFonts w:ascii="宋体" w:hAnsi="宋体"/>
          <w:b/>
          <w:color w:val="000000" w:themeColor="text1"/>
          <w:szCs w:val="21"/>
        </w:rPr>
      </w:pPr>
      <w:r>
        <w:rPr>
          <w:rFonts w:hint="eastAsia" w:ascii="宋体" w:hAnsi="宋体" w:eastAsia="宋体" w:cs="宋体"/>
          <w:b/>
          <w:bCs/>
          <w:color w:val="000000" w:themeColor="text1"/>
          <w:sz w:val="21"/>
          <w:szCs w:val="21"/>
        </w:rPr>
        <w:t>六、机关运行经费财政拨款预算情况</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2018年吉华街道办事处机关运行经费财政拨款预算10,163万元。主要用于办公及印刷费、邮电费、差旅费、会议费、福利费、日常维修费、专用材料及一般设备购置费、办公用房水电费、办公用房物业管理费、公务用车运行维护费以及其他费用支出。</w:t>
      </w:r>
    </w:p>
    <w:p>
      <w:pPr>
        <w:spacing w:line="400" w:lineRule="exact"/>
        <w:ind w:firstLine="422" w:firstLineChars="200"/>
        <w:rPr>
          <w:rFonts w:asciiTheme="minorEastAsia" w:hAnsiTheme="minorEastAsia" w:eastAsiaTheme="minorEastAsia"/>
          <w:b/>
          <w:bCs/>
          <w:sz w:val="21"/>
          <w:szCs w:val="21"/>
        </w:rPr>
      </w:pPr>
      <w:r>
        <w:rPr>
          <w:rFonts w:hint="eastAsia" w:cs="宋体" w:asciiTheme="minorEastAsia" w:hAnsiTheme="minorEastAsia" w:eastAsiaTheme="minorEastAsia"/>
          <w:b/>
          <w:bCs/>
          <w:sz w:val="21"/>
          <w:szCs w:val="21"/>
        </w:rPr>
        <w:t>七、国有资本经营支出预算情况</w:t>
      </w:r>
    </w:p>
    <w:p>
      <w:pPr>
        <w:widowControl/>
        <w:spacing w:line="400" w:lineRule="exact"/>
        <w:ind w:firstLine="420" w:firstLineChars="200"/>
        <w:jc w:val="left"/>
        <w:rPr>
          <w:rFonts w:cs="宋体" w:asciiTheme="minorEastAsia" w:hAnsiTheme="minorEastAsia" w:eastAsiaTheme="minorEastAsia"/>
          <w:color w:val="000000"/>
          <w:sz w:val="21"/>
          <w:szCs w:val="21"/>
        </w:rPr>
      </w:pPr>
      <w:r>
        <w:rPr>
          <w:rFonts w:cs="宋体" w:asciiTheme="minorEastAsia" w:hAnsiTheme="minorEastAsia" w:eastAsiaTheme="minorEastAsia"/>
          <w:color w:val="000000"/>
          <w:sz w:val="21"/>
          <w:szCs w:val="21"/>
        </w:rPr>
        <w:t>2018</w:t>
      </w:r>
      <w:r>
        <w:rPr>
          <w:rFonts w:hint="eastAsia" w:cs="宋体" w:asciiTheme="minorEastAsia" w:hAnsiTheme="minorEastAsia" w:eastAsiaTheme="minorEastAsia"/>
          <w:color w:val="000000"/>
          <w:sz w:val="21"/>
          <w:szCs w:val="21"/>
        </w:rPr>
        <w:t>年本部门无国有资本经营支出预算。</w:t>
      </w:r>
    </w:p>
    <w:p>
      <w:pPr>
        <w:spacing w:line="400" w:lineRule="exact"/>
        <w:ind w:firstLine="422" w:firstLineChars="200"/>
        <w:rPr>
          <w:rFonts w:asciiTheme="minorEastAsia" w:hAnsiTheme="minorEastAsia" w:eastAsiaTheme="minorEastAsia"/>
          <w:b/>
          <w:bCs/>
          <w:sz w:val="21"/>
          <w:szCs w:val="21"/>
        </w:rPr>
      </w:pPr>
      <w:r>
        <w:rPr>
          <w:rFonts w:hint="eastAsia" w:cs="宋体" w:asciiTheme="minorEastAsia" w:hAnsiTheme="minorEastAsia" w:eastAsiaTheme="minorEastAsia"/>
          <w:b/>
          <w:bCs/>
          <w:sz w:val="21"/>
          <w:szCs w:val="21"/>
        </w:rPr>
        <w:t>八、上级专项转移支付支出预算情况</w:t>
      </w:r>
    </w:p>
    <w:p>
      <w:pPr>
        <w:widowControl/>
        <w:spacing w:line="400" w:lineRule="exact"/>
        <w:ind w:firstLine="420" w:firstLineChars="200"/>
        <w:jc w:val="left"/>
        <w:rPr>
          <w:rFonts w:cs="宋体" w:asciiTheme="minorEastAsia" w:hAnsiTheme="minorEastAsia" w:eastAsiaTheme="minorEastAsia"/>
          <w:color w:val="000000"/>
          <w:sz w:val="21"/>
          <w:szCs w:val="21"/>
        </w:rPr>
      </w:pPr>
      <w:r>
        <w:rPr>
          <w:rFonts w:cs="宋体" w:asciiTheme="minorEastAsia" w:hAnsiTheme="minorEastAsia" w:eastAsiaTheme="minorEastAsia"/>
          <w:color w:val="000000"/>
          <w:sz w:val="21"/>
          <w:szCs w:val="21"/>
        </w:rPr>
        <w:t>2018</w:t>
      </w:r>
      <w:r>
        <w:rPr>
          <w:rFonts w:hint="eastAsia" w:cs="宋体" w:asciiTheme="minorEastAsia" w:hAnsiTheme="minorEastAsia" w:eastAsiaTheme="minorEastAsia"/>
          <w:color w:val="000000"/>
          <w:sz w:val="21"/>
          <w:szCs w:val="21"/>
        </w:rPr>
        <w:t>年本部门无上级专项转移支付支出预算（2018年**部门上级专项转移支付项目共**个（详见附表十二））。</w:t>
      </w:r>
    </w:p>
    <w:p>
      <w:pPr>
        <w:spacing w:line="400" w:lineRule="exact"/>
        <w:ind w:firstLine="422" w:firstLineChars="200"/>
        <w:rPr>
          <w:rFonts w:asciiTheme="minorEastAsia" w:hAnsiTheme="minorEastAsia" w:eastAsiaTheme="minorEastAsia"/>
          <w:b/>
          <w:bCs/>
          <w:sz w:val="21"/>
          <w:szCs w:val="21"/>
        </w:rPr>
      </w:pPr>
      <w:r>
        <w:rPr>
          <w:rFonts w:hint="eastAsia" w:cs="宋体" w:asciiTheme="minorEastAsia" w:hAnsiTheme="minorEastAsia" w:eastAsiaTheme="minorEastAsia"/>
          <w:b/>
          <w:bCs/>
          <w:sz w:val="21"/>
          <w:szCs w:val="21"/>
        </w:rPr>
        <w:t>九、预算绩效管理情况</w:t>
      </w:r>
    </w:p>
    <w:p>
      <w:pPr>
        <w:widowControl/>
        <w:spacing w:line="400" w:lineRule="exact"/>
        <w:ind w:firstLine="640"/>
        <w:jc w:val="left"/>
        <w:rPr>
          <w:rFonts w:hint="eastAsia" w:cs="宋体"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2018年**部门共**个预算项目纳入部门预算绩效管理（详见附表十三），其中**项目纳入入重点项目支出绩效目标（详见附表十四）。</w:t>
      </w:r>
    </w:p>
    <w:p>
      <w:pPr>
        <w:numPr>
          <w:ilvl w:val="0"/>
          <w:numId w:val="5"/>
        </w:numPr>
        <w:tabs>
          <w:tab w:val="left" w:pos="208"/>
        </w:tabs>
        <w:spacing w:line="420" w:lineRule="exact"/>
        <w:ind w:firstLine="211" w:firstLineChars="100"/>
        <w:rPr>
          <w:rFonts w:hint="eastAsia" w:asciiTheme="majorEastAsia" w:hAnsiTheme="majorEastAsia" w:eastAsiaTheme="majorEastAsia" w:cstheme="majorEastAsia"/>
          <w:b/>
          <w:bCs/>
          <w:color w:val="auto"/>
          <w:sz w:val="21"/>
          <w:szCs w:val="21"/>
          <w:lang w:val="en-US" w:eastAsia="zh-CN"/>
        </w:rPr>
      </w:pPr>
      <w:r>
        <w:rPr>
          <w:rFonts w:hint="eastAsia" w:asciiTheme="majorEastAsia" w:hAnsiTheme="majorEastAsia" w:eastAsiaTheme="majorEastAsia" w:cstheme="majorEastAsia"/>
          <w:b/>
          <w:bCs/>
          <w:color w:val="auto"/>
          <w:sz w:val="21"/>
          <w:szCs w:val="21"/>
          <w:lang w:val="en-US" w:eastAsia="zh-CN"/>
        </w:rPr>
        <w:t xml:space="preserve"> 国有资产占用情况说明</w:t>
      </w:r>
    </w:p>
    <w:p>
      <w:pPr>
        <w:widowControl/>
        <w:spacing w:line="400" w:lineRule="exact"/>
        <w:ind w:firstLine="640"/>
        <w:jc w:val="left"/>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b w:val="0"/>
          <w:bCs w:val="0"/>
          <w:color w:val="auto"/>
          <w:sz w:val="21"/>
          <w:szCs w:val="21"/>
          <w:lang w:val="en-US" w:eastAsia="zh-CN"/>
        </w:rPr>
        <w:t>截至 2018年 1 月 1 日，本部门共有车辆 49辆， 其中领导干部用车0辆、一般公务用车9辆、一般执法勤用车25辆、特种专业技术用车11辆、其他用车4辆，其他用车主要是定向化保障岗位用车1辆、机要通信应急车辆保留2辆、维稳应急指挥用车1辆；单位价值50万元以上通用设备5台，单位价值100万元以上专用设备1套。</w:t>
      </w:r>
    </w:p>
    <w:p>
      <w:pPr>
        <w:snapToGrid/>
        <w:spacing w:line="420" w:lineRule="exact"/>
        <w:ind w:firstLine="420" w:firstLineChars="200"/>
        <w:rPr>
          <w:rFonts w:hint="eastAsia" w:asciiTheme="minorEastAsia" w:hAnsiTheme="minorEastAsia" w:eastAsiaTheme="minorEastAsia" w:cstheme="minorEastAsia"/>
          <w:bCs/>
          <w:color w:val="000000" w:themeColor="text1"/>
          <w:sz w:val="21"/>
          <w:szCs w:val="21"/>
        </w:rPr>
      </w:pPr>
    </w:p>
    <w:p>
      <w:pPr>
        <w:snapToGrid/>
        <w:spacing w:line="420" w:lineRule="exact"/>
        <w:ind w:firstLine="420" w:firstLineChars="200"/>
        <w:rPr>
          <w:rFonts w:ascii="宋体" w:hAnsi="宋体" w:eastAsia="宋体" w:cs="宋体"/>
          <w:bCs/>
          <w:color w:val="000000" w:themeColor="text1"/>
          <w:sz w:val="21"/>
          <w:szCs w:val="21"/>
        </w:rPr>
      </w:pPr>
    </w:p>
    <w:p>
      <w:pPr>
        <w:spacing w:line="420" w:lineRule="exact"/>
        <w:rPr>
          <w:rFonts w:ascii="黑体" w:hAnsi="宋体" w:eastAsia="黑体"/>
          <w:color w:val="000000" w:themeColor="text1"/>
          <w:sz w:val="28"/>
          <w:szCs w:val="28"/>
        </w:rPr>
      </w:pPr>
    </w:p>
    <w:p>
      <w:pPr>
        <w:spacing w:line="420" w:lineRule="exact"/>
        <w:rPr>
          <w:rFonts w:ascii="黑体" w:hAnsi="宋体" w:eastAsia="黑体"/>
          <w:color w:val="000000" w:themeColor="text1"/>
          <w:sz w:val="28"/>
          <w:szCs w:val="28"/>
        </w:rPr>
      </w:pPr>
    </w:p>
    <w:p>
      <w:pPr>
        <w:spacing w:line="420" w:lineRule="exact"/>
        <w:jc w:val="center"/>
        <w:rPr>
          <w:rFonts w:ascii="黑体" w:hAnsi="宋体" w:eastAsia="黑体"/>
          <w:b/>
          <w:bCs/>
          <w:color w:val="000000" w:themeColor="text1"/>
          <w:sz w:val="28"/>
          <w:szCs w:val="28"/>
        </w:rPr>
      </w:pPr>
      <w:r>
        <w:rPr>
          <w:rFonts w:hint="eastAsia" w:ascii="黑体" w:hAnsi="宋体" w:eastAsia="黑体"/>
          <w:b/>
          <w:bCs/>
          <w:color w:val="000000" w:themeColor="text1"/>
          <w:sz w:val="28"/>
          <w:szCs w:val="28"/>
        </w:rPr>
        <w:t>第三部分  情况说明</w:t>
      </w:r>
    </w:p>
    <w:p>
      <w:pPr>
        <w:numPr>
          <w:ilvl w:val="0"/>
          <w:numId w:val="6"/>
        </w:numPr>
        <w:spacing w:line="420" w:lineRule="exact"/>
        <w:ind w:firstLine="422" w:firstLineChars="200"/>
        <w:rPr>
          <w:rFonts w:ascii="宋体" w:hAnsi="宋体" w:eastAsia="宋体" w:cs="宋体"/>
          <w:b/>
          <w:bCs/>
          <w:color w:val="000000" w:themeColor="text1"/>
          <w:sz w:val="21"/>
          <w:szCs w:val="21"/>
        </w:rPr>
      </w:pPr>
      <w:r>
        <w:rPr>
          <w:rFonts w:hint="eastAsia" w:ascii="宋体" w:hAnsi="宋体" w:eastAsia="宋体" w:cs="宋体"/>
          <w:b/>
          <w:bCs/>
          <w:color w:val="000000" w:themeColor="text1"/>
          <w:sz w:val="21"/>
          <w:szCs w:val="21"/>
        </w:rPr>
        <w:t>名词解释</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1.财政拨款收入：指财政当年拨付的资金；</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 xml:space="preserve">2.其他收入：指“财政拨款收入”、“事业收入”、“经营收入”之外取得的收入； </w:t>
      </w:r>
    </w:p>
    <w:p>
      <w:pPr>
        <w:pStyle w:val="4"/>
        <w:widowControl/>
        <w:spacing w:beforeAutospacing="0" w:afterAutospacing="0"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color w:val="000000" w:themeColor="text1"/>
          <w:sz w:val="21"/>
          <w:szCs w:val="21"/>
        </w:rPr>
        <w:t>3</w:t>
      </w:r>
      <w:r>
        <w:rPr>
          <w:rFonts w:hint="eastAsia" w:ascii="宋体" w:hAnsi="宋体" w:eastAsia="宋体" w:cs="宋体"/>
          <w:bCs/>
          <w:color w:val="000000" w:themeColor="text1"/>
          <w:sz w:val="21"/>
          <w:szCs w:val="21"/>
        </w:rPr>
        <w:t>.一般公共服务：反映</w:t>
      </w:r>
      <w:bookmarkStart w:id="0" w:name="_GoBack"/>
      <w:bookmarkEnd w:id="0"/>
      <w:r>
        <w:rPr>
          <w:rFonts w:hint="eastAsia" w:ascii="宋体" w:hAnsi="宋体" w:eastAsia="宋体" w:cs="宋体"/>
          <w:bCs/>
          <w:color w:val="000000" w:themeColor="text1"/>
          <w:sz w:val="21"/>
          <w:szCs w:val="21"/>
        </w:rPr>
        <w:t>人力资源及组织事务、纪检监察事务、群众团体事务、宣传事务、财政财务事务、商贸事务、及其他一般公共服务等支出；</w:t>
      </w:r>
    </w:p>
    <w:p>
      <w:pPr>
        <w:pStyle w:val="4"/>
        <w:widowControl/>
        <w:spacing w:beforeAutospacing="0" w:afterAutospacing="0" w:line="420" w:lineRule="exact"/>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 xml:space="preserve">　　4.公共安全：反映公共安全及综治维稳、司法事务支出； </w:t>
      </w:r>
    </w:p>
    <w:p>
      <w:pPr>
        <w:pStyle w:val="4"/>
        <w:widowControl/>
        <w:spacing w:beforeAutospacing="0" w:afterAutospacing="0" w:line="420" w:lineRule="exact"/>
        <w:ind w:firstLine="405"/>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 xml:space="preserve">5.文化体育与传媒：反映举办各类文化体育活动事务支出； </w:t>
      </w:r>
    </w:p>
    <w:p>
      <w:pPr>
        <w:pStyle w:val="4"/>
        <w:widowControl/>
        <w:spacing w:beforeAutospacing="0" w:afterAutospacing="0" w:line="420" w:lineRule="exact"/>
        <w:ind w:firstLine="405"/>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 xml:space="preserve">6.社会保障和就业：反映人力资源和社会保障管理事务、就业事务、退休事务、残疾人保障、敬老院、低保、高龄老人补贴等事务支出； </w:t>
      </w:r>
    </w:p>
    <w:p>
      <w:pPr>
        <w:pStyle w:val="4"/>
        <w:widowControl/>
        <w:spacing w:beforeAutospacing="0" w:afterAutospacing="0"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 xml:space="preserve">7.医疗卫生：反映人口和计划生育事务，包括计生基础工作、宣传教育、人口管理、计生六项免费服务等支出； </w:t>
      </w:r>
    </w:p>
    <w:p>
      <w:pPr>
        <w:pStyle w:val="4"/>
        <w:widowControl/>
        <w:spacing w:beforeAutospacing="0" w:afterAutospacing="0" w:line="420" w:lineRule="exact"/>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　　8.城乡社区事务：反映城市管理、城乡社区管理、环境卫生、公共设施等支出；</w:t>
      </w:r>
    </w:p>
    <w:p>
      <w:pPr>
        <w:pStyle w:val="4"/>
        <w:widowControl/>
        <w:spacing w:beforeAutospacing="0" w:afterAutospacing="0" w:line="420" w:lineRule="exact"/>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　　9.农林水事务：反映动物防疫农水产品检测、农林水事务等支出；</w:t>
      </w:r>
    </w:p>
    <w:p>
      <w:pPr>
        <w:pStyle w:val="4"/>
        <w:widowControl/>
        <w:spacing w:beforeAutospacing="0" w:afterAutospacing="0" w:line="420" w:lineRule="exact"/>
        <w:ind w:firstLine="42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10.资源勘探信息等支出：</w:t>
      </w:r>
      <w:r>
        <w:rPr>
          <w:rFonts w:ascii="Arial" w:hAnsi="Arial" w:eastAsia="宋体" w:cs="Arial"/>
          <w:color w:val="000000" w:themeColor="text1"/>
          <w:sz w:val="19"/>
          <w:szCs w:val="19"/>
          <w:shd w:val="clear" w:color="auto" w:fill="FFFFFF"/>
        </w:rPr>
        <w:t> </w:t>
      </w:r>
      <w:r>
        <w:rPr>
          <w:rFonts w:ascii="宋体" w:hAnsi="宋体" w:eastAsia="宋体" w:cs="宋体"/>
          <w:bCs/>
          <w:color w:val="000000" w:themeColor="text1"/>
          <w:sz w:val="21"/>
          <w:szCs w:val="21"/>
        </w:rPr>
        <w:t>反映政府对资源勘探信息等事务支出</w:t>
      </w:r>
      <w:r>
        <w:rPr>
          <w:rFonts w:hint="eastAsia" w:ascii="宋体" w:hAnsi="宋体" w:eastAsia="宋体" w:cs="宋体"/>
          <w:bCs/>
          <w:color w:val="000000" w:themeColor="text1"/>
          <w:sz w:val="21"/>
          <w:szCs w:val="21"/>
        </w:rPr>
        <w:t>；</w:t>
      </w:r>
    </w:p>
    <w:p>
      <w:pPr>
        <w:pStyle w:val="4"/>
        <w:widowControl/>
        <w:spacing w:beforeAutospacing="0" w:afterAutospacing="0" w:line="420" w:lineRule="exact"/>
        <w:ind w:firstLine="42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11.住房保障支出：反映政府用于</w:t>
      </w:r>
      <w:r>
        <w:rPr>
          <w:rFonts w:ascii="宋体" w:hAnsi="宋体" w:eastAsia="宋体" w:cs="宋体"/>
          <w:bCs/>
          <w:color w:val="000000" w:themeColor="text1"/>
          <w:sz w:val="21"/>
          <w:szCs w:val="21"/>
        </w:rPr>
        <w:t>住房保障等事务支出,包括保障性住房支出、住房改革支出和城乡社区住宅等方面支出</w:t>
      </w:r>
      <w:r>
        <w:rPr>
          <w:rFonts w:hint="eastAsia" w:ascii="宋体" w:hAnsi="宋体" w:eastAsia="宋体" w:cs="宋体"/>
          <w:bCs/>
          <w:color w:val="000000" w:themeColor="text1"/>
          <w:sz w:val="21"/>
          <w:szCs w:val="21"/>
        </w:rPr>
        <w:t>；</w:t>
      </w:r>
    </w:p>
    <w:p>
      <w:pPr>
        <w:pStyle w:val="4"/>
        <w:widowControl/>
        <w:spacing w:beforeAutospacing="0" w:afterAutospacing="0" w:line="420" w:lineRule="exact"/>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　　12.其他支出：反映民兵建设管理、食安药安、其他扶贫及应急、基建等支出;</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13.“三公”经费：反映单位因公出国(境)经费、公务用车购置及运行费、公务接待费；</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 xml:space="preserve">14.基本支出：指为保障机构正常运转、完成日常 工作任务而发生的人员支出和公用支出。 </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 xml:space="preserve">15.项目支出：指在基本支出之外为完成特定行政 任务和事业发展目标所发生的支出。 </w:t>
      </w:r>
    </w:p>
    <w:p>
      <w:pPr>
        <w:snapToGrid/>
        <w:spacing w:line="420" w:lineRule="exact"/>
        <w:ind w:firstLine="420" w:firstLineChars="200"/>
        <w:rPr>
          <w:rFonts w:ascii="宋体" w:hAnsi="宋体" w:eastAsia="宋体" w:cs="宋体"/>
          <w:bCs/>
          <w:color w:val="000000" w:themeColor="text1"/>
          <w:sz w:val="21"/>
          <w:szCs w:val="21"/>
        </w:rPr>
      </w:pPr>
      <w:r>
        <w:rPr>
          <w:rFonts w:hint="eastAsia" w:ascii="宋体" w:hAnsi="宋体" w:eastAsia="宋体" w:cs="宋体"/>
          <w:bCs/>
          <w:color w:val="000000" w:themeColor="text1"/>
          <w:sz w:val="21"/>
          <w:szCs w:val="21"/>
        </w:rPr>
        <w:t>16.机关运行经费：指行政机关及参照公务员管理 的事业单位的公用经费，包括办公及、邮电费、差旅费、会 议费、福利费、日常维修费、一般设备购置费、办公用房水 电费、办公用房物业管理费、公务用车运行维护费以及其他费用。</w:t>
      </w:r>
    </w:p>
    <w:p>
      <w:pPr>
        <w:spacing w:line="420" w:lineRule="exact"/>
        <w:rPr>
          <w:rFonts w:ascii="宋体" w:hAnsi="宋体" w:eastAsia="宋体"/>
          <w:color w:val="000000" w:themeColor="text1"/>
          <w:sz w:val="28"/>
          <w:szCs w:val="28"/>
        </w:rPr>
      </w:pPr>
    </w:p>
    <w:p>
      <w:pPr>
        <w:numPr>
          <w:ilvl w:val="0"/>
          <w:numId w:val="6"/>
        </w:numPr>
        <w:spacing w:line="420" w:lineRule="exact"/>
        <w:ind w:firstLine="422" w:firstLineChars="200"/>
        <w:rPr>
          <w:rFonts w:hint="eastAsia" w:ascii="宋体" w:hAnsi="宋体" w:eastAsia="宋体" w:cs="宋体"/>
          <w:b/>
          <w:bCs/>
          <w:color w:val="000000" w:themeColor="text1"/>
          <w:sz w:val="21"/>
          <w:szCs w:val="21"/>
        </w:rPr>
      </w:pPr>
      <w:r>
        <w:rPr>
          <w:rFonts w:hint="eastAsia" w:ascii="宋体" w:hAnsi="宋体" w:eastAsia="宋体" w:cs="宋体"/>
          <w:b/>
          <w:bCs/>
          <w:color w:val="000000" w:themeColor="text1"/>
          <w:sz w:val="21"/>
          <w:szCs w:val="21"/>
        </w:rPr>
        <w:t>其他情况说明</w:t>
      </w:r>
    </w:p>
    <w:p>
      <w:pPr>
        <w:spacing w:line="420" w:lineRule="exact"/>
        <w:rPr>
          <w:rFonts w:ascii="宋体" w:hAnsi="宋体" w:eastAsia="宋体"/>
          <w:color w:val="000000" w:themeColor="text1"/>
          <w:sz w:val="21"/>
          <w:szCs w:val="21"/>
        </w:rPr>
      </w:pPr>
      <w:r>
        <w:rPr>
          <w:rFonts w:hint="eastAsia" w:ascii="宋体" w:hAnsi="宋体" w:eastAsia="宋体"/>
          <w:color w:val="000000" w:themeColor="text1"/>
          <w:sz w:val="28"/>
          <w:szCs w:val="28"/>
        </w:rPr>
        <w:t xml:space="preserve">  </w:t>
      </w:r>
      <w:r>
        <w:rPr>
          <w:rFonts w:hint="eastAsia" w:ascii="宋体" w:hAnsi="宋体" w:eastAsia="宋体"/>
          <w:color w:val="000000" w:themeColor="text1"/>
          <w:sz w:val="21"/>
          <w:szCs w:val="21"/>
        </w:rPr>
        <w:t>无</w:t>
      </w:r>
    </w:p>
    <w:p>
      <w:pPr>
        <w:spacing w:line="420" w:lineRule="exac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附表： 一般公共预算</w:t>
      </w:r>
    </w:p>
    <w:p>
      <w:pPr>
        <w:widowControl/>
        <w:ind w:left="864" w:leftChars="270"/>
        <w:jc w:val="left"/>
        <w:rPr>
          <w:rFonts w:hint="eastAsia"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表一：部门收支总表</w:t>
      </w:r>
    </w:p>
    <w:p>
      <w:pPr>
        <w:widowControl/>
        <w:ind w:left="864" w:leftChars="270"/>
        <w:jc w:val="left"/>
        <w:rPr>
          <w:rFonts w:hint="eastAsia"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表二：部门收入总表</w:t>
      </w:r>
    </w:p>
    <w:p>
      <w:pPr>
        <w:widowControl/>
        <w:ind w:left="864" w:leftChars="270"/>
        <w:jc w:val="left"/>
        <w:rPr>
          <w:rFonts w:hint="eastAsia"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表三：部门支出总表(按功能科目)</w:t>
      </w:r>
    </w:p>
    <w:p>
      <w:pPr>
        <w:widowControl/>
        <w:ind w:left="864" w:leftChars="270"/>
        <w:jc w:val="left"/>
        <w:rPr>
          <w:rFonts w:hint="eastAsia"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表四：财政拨款收支总表</w:t>
      </w:r>
    </w:p>
    <w:p>
      <w:pPr>
        <w:widowControl/>
        <w:ind w:left="864" w:leftChars="270"/>
        <w:jc w:val="left"/>
        <w:rPr>
          <w:rFonts w:hint="eastAsia"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表五：一般公共预算支出表</w:t>
      </w:r>
      <w:r>
        <w:rPr>
          <w:rFonts w:hint="eastAsia" w:asciiTheme="minorEastAsia" w:hAnsiTheme="minorEastAsia" w:eastAsiaTheme="minorEastAsia" w:cstheme="minorEastAsia"/>
          <w:color w:val="000000" w:themeColor="text1"/>
          <w:sz w:val="21"/>
          <w:szCs w:val="21"/>
          <w:lang w:eastAsia="zh-CN"/>
        </w:rPr>
        <w:t>（按功能科目）</w:t>
      </w:r>
    </w:p>
    <w:p>
      <w:pPr>
        <w:widowControl/>
        <w:ind w:left="864" w:leftChars="270"/>
        <w:jc w:val="left"/>
        <w:rPr>
          <w:rFonts w:hint="eastAsia"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表六：一般公共预算支出表（按经济科目）</w:t>
      </w:r>
    </w:p>
    <w:p>
      <w:pPr>
        <w:widowControl/>
        <w:ind w:left="864" w:leftChars="270"/>
        <w:jc w:val="left"/>
        <w:rPr>
          <w:rFonts w:hint="eastAsia"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表七：政府性基金预算支出表</w:t>
      </w:r>
    </w:p>
    <w:p>
      <w:pPr>
        <w:widowControl/>
        <w:ind w:left="864" w:leftChars="270"/>
        <w:jc w:val="left"/>
        <w:rPr>
          <w:rFonts w:hint="eastAsia"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表八：一般公共预算“三公”经费支出表</w:t>
      </w:r>
    </w:p>
    <w:p>
      <w:pPr>
        <w:widowControl/>
        <w:ind w:left="864" w:leftChars="27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表九：政府采购预算表</w:t>
      </w:r>
    </w:p>
    <w:p>
      <w:pPr>
        <w:widowControl/>
        <w:ind w:left="864" w:leftChars="27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表十：基本建设项目资金预算表</w:t>
      </w:r>
    </w:p>
    <w:p>
      <w:pPr>
        <w:widowControl/>
        <w:ind w:left="864" w:leftChars="270"/>
        <w:jc w:val="left"/>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表十一：国有资本经营预算支出表</w:t>
      </w:r>
    </w:p>
    <w:p>
      <w:pPr>
        <w:widowControl/>
        <w:ind w:left="864" w:leftChars="270"/>
        <w:jc w:val="left"/>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表十二：上级转移支付支出预算表</w:t>
      </w:r>
    </w:p>
    <w:p>
      <w:pPr>
        <w:widowControl/>
        <w:ind w:left="864" w:leftChars="270"/>
        <w:jc w:val="left"/>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表十三：部门预算绩效管理项目情况表</w:t>
      </w:r>
    </w:p>
    <w:p>
      <w:pPr>
        <w:widowControl/>
        <w:ind w:left="864" w:leftChars="270"/>
        <w:jc w:val="left"/>
      </w:pPr>
      <w:r>
        <w:rPr>
          <w:rFonts w:hint="eastAsia" w:asciiTheme="minorEastAsia" w:hAnsiTheme="minorEastAsia" w:eastAsiaTheme="minorEastAsia" w:cstheme="minorEastAsia"/>
          <w:sz w:val="21"/>
          <w:szCs w:val="21"/>
          <w:lang w:eastAsia="zh-CN"/>
        </w:rPr>
        <w:t>表十四：重点项目支出绩效目标表</w:t>
      </w:r>
    </w:p>
    <w:tbl>
      <w:tblPr>
        <w:tblStyle w:val="5"/>
        <w:tblW w:w="9056" w:type="dxa"/>
        <w:tblInd w:w="0" w:type="dxa"/>
        <w:tblLayout w:type="fixed"/>
        <w:tblCellMar>
          <w:top w:w="15" w:type="dxa"/>
          <w:left w:w="15" w:type="dxa"/>
          <w:bottom w:w="15" w:type="dxa"/>
          <w:right w:w="15" w:type="dxa"/>
        </w:tblCellMar>
      </w:tblPr>
      <w:tblGrid>
        <w:gridCol w:w="815"/>
        <w:gridCol w:w="407"/>
        <w:gridCol w:w="816"/>
        <w:gridCol w:w="435"/>
        <w:gridCol w:w="1695"/>
        <w:gridCol w:w="432"/>
        <w:gridCol w:w="1401"/>
        <w:gridCol w:w="1005"/>
        <w:gridCol w:w="282"/>
        <w:gridCol w:w="1768"/>
      </w:tblGrid>
      <w:tr>
        <w:tblPrEx>
          <w:tblLayout w:type="fixed"/>
          <w:tblCellMar>
            <w:top w:w="15" w:type="dxa"/>
            <w:left w:w="15" w:type="dxa"/>
            <w:bottom w:w="15" w:type="dxa"/>
            <w:right w:w="15" w:type="dxa"/>
          </w:tblCellMar>
        </w:tblPrEx>
        <w:trPr>
          <w:trHeight w:val="286" w:hRule="atLeast"/>
        </w:trPr>
        <w:tc>
          <w:tcPr>
            <w:tcW w:w="815" w:type="dxa"/>
            <w:shd w:val="clear" w:color="auto" w:fill="auto"/>
          </w:tcPr>
          <w:p>
            <w:pPr>
              <w:widowControl/>
              <w:spacing w:line="240" w:lineRule="atLeast"/>
              <w:jc w:val="left"/>
              <w:textAlignment w:val="top"/>
              <w:rPr>
                <w:rFonts w:ascii="宋体" w:hAnsi="宋体" w:eastAsia="宋体" w:cs="宋体"/>
                <w:color w:val="000000"/>
                <w:sz w:val="22"/>
                <w:szCs w:val="22"/>
              </w:rPr>
            </w:pPr>
            <w:r>
              <w:rPr>
                <w:rFonts w:hint="eastAsia" w:ascii="宋体" w:hAnsi="宋体" w:eastAsia="宋体" w:cs="宋体"/>
                <w:color w:val="000000"/>
                <w:sz w:val="20"/>
                <w:szCs w:val="20"/>
              </w:rPr>
              <w:t>表一</w:t>
            </w:r>
          </w:p>
        </w:tc>
        <w:tc>
          <w:tcPr>
            <w:tcW w:w="407" w:type="dxa"/>
            <w:shd w:val="clear" w:color="auto" w:fill="auto"/>
            <w:vAlign w:val="center"/>
          </w:tcPr>
          <w:p>
            <w:pPr>
              <w:spacing w:line="240" w:lineRule="atLeast"/>
              <w:rPr>
                <w:rFonts w:ascii="宋体" w:hAnsi="宋体" w:eastAsia="宋体" w:cs="宋体"/>
                <w:color w:val="000000"/>
                <w:sz w:val="22"/>
                <w:szCs w:val="22"/>
              </w:rPr>
            </w:pPr>
          </w:p>
        </w:tc>
        <w:tc>
          <w:tcPr>
            <w:tcW w:w="816" w:type="dxa"/>
            <w:shd w:val="clear" w:color="auto" w:fill="auto"/>
            <w:vAlign w:val="bottom"/>
          </w:tcPr>
          <w:p>
            <w:pPr>
              <w:spacing w:line="240" w:lineRule="atLeast"/>
              <w:rPr>
                <w:rFonts w:ascii="宋体" w:hAnsi="宋体" w:eastAsia="宋体" w:cs="宋体"/>
                <w:color w:val="000000"/>
                <w:sz w:val="20"/>
                <w:szCs w:val="20"/>
              </w:rPr>
            </w:pPr>
          </w:p>
        </w:tc>
        <w:tc>
          <w:tcPr>
            <w:tcW w:w="3963" w:type="dxa"/>
            <w:gridSpan w:val="4"/>
            <w:shd w:val="clear" w:color="auto" w:fill="auto"/>
            <w:vAlign w:val="center"/>
          </w:tcPr>
          <w:p>
            <w:pPr>
              <w:widowControl/>
              <w:spacing w:line="240" w:lineRule="atLeast"/>
              <w:jc w:val="center"/>
              <w:textAlignment w:val="center"/>
              <w:rPr>
                <w:rFonts w:ascii="宋体" w:hAnsi="宋体" w:eastAsia="宋体" w:cs="宋体"/>
                <w:b/>
                <w:color w:val="000000"/>
                <w:sz w:val="22"/>
                <w:szCs w:val="22"/>
              </w:rPr>
            </w:pPr>
          </w:p>
          <w:p>
            <w:pPr>
              <w:widowControl/>
              <w:spacing w:line="240" w:lineRule="atLeast"/>
              <w:ind w:firstLine="1405" w:firstLineChars="500"/>
              <w:jc w:val="both"/>
              <w:textAlignment w:val="center"/>
              <w:rPr>
                <w:rFonts w:ascii="宋体" w:hAnsi="宋体" w:eastAsia="宋体" w:cs="宋体"/>
                <w:b/>
                <w:color w:val="000000"/>
                <w:sz w:val="22"/>
                <w:szCs w:val="22"/>
              </w:rPr>
            </w:pPr>
            <w:r>
              <w:rPr>
                <w:rFonts w:hint="eastAsia" w:ascii="宋体" w:hAnsi="宋体" w:eastAsia="宋体" w:cs="宋体"/>
                <w:b/>
                <w:color w:val="000000"/>
                <w:sz w:val="28"/>
                <w:szCs w:val="28"/>
              </w:rPr>
              <w:t>部门收支总表</w:t>
            </w:r>
          </w:p>
        </w:tc>
        <w:tc>
          <w:tcPr>
            <w:tcW w:w="1005" w:type="dxa"/>
            <w:shd w:val="clear" w:color="auto" w:fill="auto"/>
            <w:vAlign w:val="bottom"/>
          </w:tcPr>
          <w:p>
            <w:pPr>
              <w:spacing w:line="240" w:lineRule="atLeast"/>
              <w:rPr>
                <w:rFonts w:ascii="宋体" w:hAnsi="宋体" w:eastAsia="宋体" w:cs="宋体"/>
                <w:color w:val="000000"/>
                <w:sz w:val="20"/>
                <w:szCs w:val="20"/>
              </w:rPr>
            </w:pPr>
          </w:p>
        </w:tc>
        <w:tc>
          <w:tcPr>
            <w:tcW w:w="2050" w:type="dxa"/>
            <w:gridSpan w:val="2"/>
            <w:shd w:val="clear" w:color="auto" w:fill="auto"/>
            <w:vAlign w:val="bottom"/>
          </w:tcPr>
          <w:p>
            <w:pPr>
              <w:spacing w:line="240" w:lineRule="atLeast"/>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5" w:hRule="atLeast"/>
        </w:trPr>
        <w:tc>
          <w:tcPr>
            <w:tcW w:w="4168" w:type="dxa"/>
            <w:gridSpan w:val="5"/>
            <w:shd w:val="clear" w:color="auto" w:fill="auto"/>
            <w:vAlign w:val="center"/>
          </w:tcPr>
          <w:p>
            <w:pPr>
              <w:widowControl/>
              <w:spacing w:line="240" w:lineRule="atLeast"/>
              <w:jc w:val="left"/>
              <w:textAlignment w:val="center"/>
              <w:rPr>
                <w:rFonts w:ascii="宋体" w:hAnsi="宋体" w:eastAsia="宋体" w:cs="宋体"/>
                <w:color w:val="000000"/>
                <w:sz w:val="22"/>
                <w:szCs w:val="22"/>
              </w:rPr>
            </w:pPr>
            <w:r>
              <w:rPr>
                <w:rFonts w:hint="eastAsia" w:ascii="宋体" w:hAnsi="宋体" w:eastAsia="宋体" w:cs="宋体"/>
                <w:color w:val="000000"/>
                <w:sz w:val="20"/>
                <w:szCs w:val="20"/>
              </w:rPr>
              <w:t>部门：深圳市龙岗区吉华街道办事处</w:t>
            </w:r>
          </w:p>
        </w:tc>
        <w:tc>
          <w:tcPr>
            <w:tcW w:w="432" w:type="dxa"/>
            <w:shd w:val="clear" w:color="auto" w:fill="auto"/>
            <w:vAlign w:val="center"/>
          </w:tcPr>
          <w:p>
            <w:pPr>
              <w:spacing w:line="240" w:lineRule="atLeast"/>
              <w:rPr>
                <w:rFonts w:ascii="宋体" w:hAnsi="宋体" w:eastAsia="宋体" w:cs="宋体"/>
                <w:color w:val="000000"/>
                <w:sz w:val="22"/>
                <w:szCs w:val="22"/>
              </w:rPr>
            </w:pPr>
          </w:p>
        </w:tc>
        <w:tc>
          <w:tcPr>
            <w:tcW w:w="1401" w:type="dxa"/>
            <w:shd w:val="clear" w:color="auto" w:fill="auto"/>
            <w:vAlign w:val="bottom"/>
          </w:tcPr>
          <w:p>
            <w:pPr>
              <w:spacing w:line="240" w:lineRule="atLeast"/>
              <w:rPr>
                <w:rFonts w:ascii="宋体" w:hAnsi="宋体" w:eastAsia="宋体" w:cs="宋体"/>
                <w:color w:val="000000"/>
                <w:sz w:val="22"/>
                <w:szCs w:val="22"/>
              </w:rPr>
            </w:pPr>
          </w:p>
        </w:tc>
        <w:tc>
          <w:tcPr>
            <w:tcW w:w="1005" w:type="dxa"/>
            <w:shd w:val="clear" w:color="auto" w:fill="auto"/>
            <w:vAlign w:val="bottom"/>
          </w:tcPr>
          <w:p>
            <w:pPr>
              <w:spacing w:line="240" w:lineRule="atLeast"/>
              <w:rPr>
                <w:rFonts w:ascii="宋体" w:hAnsi="宋体" w:eastAsia="宋体" w:cs="宋体"/>
                <w:color w:val="000000"/>
                <w:sz w:val="22"/>
                <w:szCs w:val="22"/>
              </w:rPr>
            </w:pPr>
          </w:p>
        </w:tc>
        <w:tc>
          <w:tcPr>
            <w:tcW w:w="2050" w:type="dxa"/>
            <w:gridSpan w:val="2"/>
            <w:shd w:val="clear" w:color="auto" w:fill="auto"/>
            <w:vAlign w:val="bottom"/>
          </w:tcPr>
          <w:p>
            <w:pPr>
              <w:widowControl/>
              <w:spacing w:line="240" w:lineRule="atLeast"/>
              <w:jc w:val="right"/>
              <w:textAlignment w:val="bottom"/>
              <w:rPr>
                <w:rFonts w:ascii="宋体" w:hAnsi="宋体" w:eastAsia="宋体" w:cs="宋体"/>
                <w:color w:val="000000"/>
                <w:sz w:val="22"/>
                <w:szCs w:val="22"/>
              </w:rPr>
            </w:pPr>
            <w:r>
              <w:rPr>
                <w:rFonts w:hint="eastAsia" w:ascii="宋体" w:hAnsi="宋体" w:eastAsia="宋体" w:cs="宋体"/>
                <w:color w:val="000000"/>
                <w:sz w:val="20"/>
                <w:szCs w:val="20"/>
              </w:rPr>
              <w:t>单位：万元</w:t>
            </w:r>
          </w:p>
        </w:tc>
      </w:tr>
      <w:tr>
        <w:tblPrEx>
          <w:tblLayout w:type="fixed"/>
          <w:tblCellMar>
            <w:top w:w="15" w:type="dxa"/>
            <w:left w:w="15" w:type="dxa"/>
            <w:bottom w:w="15" w:type="dxa"/>
            <w:right w:w="15" w:type="dxa"/>
          </w:tblCellMar>
        </w:tblPrEx>
        <w:trPr>
          <w:trHeight w:val="352" w:hRule="atLeast"/>
        </w:trPr>
        <w:tc>
          <w:tcPr>
            <w:tcW w:w="416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收      入</w:t>
            </w:r>
          </w:p>
        </w:tc>
        <w:tc>
          <w:tcPr>
            <w:tcW w:w="4888" w:type="dxa"/>
            <w:gridSpan w:val="5"/>
            <w:tcBorders>
              <w:top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支      出</w:t>
            </w:r>
          </w:p>
        </w:tc>
      </w:tr>
      <w:tr>
        <w:tblPrEx>
          <w:tblLayout w:type="fixed"/>
          <w:tblCellMar>
            <w:top w:w="15" w:type="dxa"/>
            <w:left w:w="15" w:type="dxa"/>
            <w:bottom w:w="15" w:type="dxa"/>
            <w:right w:w="15" w:type="dxa"/>
          </w:tblCellMar>
        </w:tblPrEx>
        <w:trPr>
          <w:trHeight w:val="232"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收  入  项  目</w:t>
            </w:r>
          </w:p>
        </w:tc>
        <w:tc>
          <w:tcPr>
            <w:tcW w:w="1695" w:type="dxa"/>
            <w:tcBorders>
              <w:top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2018年预算</w:t>
            </w: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支  出  项  目</w:t>
            </w:r>
          </w:p>
        </w:tc>
        <w:tc>
          <w:tcPr>
            <w:tcW w:w="1768" w:type="dxa"/>
            <w:tcBorders>
              <w:top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2018年预算</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一、财政拨款收入</w:t>
            </w:r>
          </w:p>
        </w:tc>
        <w:tc>
          <w:tcPr>
            <w:tcW w:w="1695"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52,378 </w:t>
            </w: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一、一般公共服务支出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4,258 </w:t>
            </w:r>
          </w:p>
        </w:tc>
      </w:tr>
      <w:tr>
        <w:tblPrEx>
          <w:tblLayout w:type="fixed"/>
          <w:tblCellMar>
            <w:top w:w="15" w:type="dxa"/>
            <w:left w:w="15" w:type="dxa"/>
            <w:bottom w:w="15" w:type="dxa"/>
            <w:right w:w="15" w:type="dxa"/>
          </w:tblCellMar>
        </w:tblPrEx>
        <w:trPr>
          <w:trHeight w:val="330"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（一）一般公共预算</w:t>
            </w:r>
          </w:p>
        </w:tc>
        <w:tc>
          <w:tcPr>
            <w:tcW w:w="1695"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46,830 </w:t>
            </w: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二、外交支出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（二）政府性基金预算</w:t>
            </w:r>
          </w:p>
        </w:tc>
        <w:tc>
          <w:tcPr>
            <w:tcW w:w="1695"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5,548 </w:t>
            </w: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三、国防支出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二、财政专户拨款资金</w:t>
            </w:r>
          </w:p>
        </w:tc>
        <w:tc>
          <w:tcPr>
            <w:tcW w:w="1695"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0</w:t>
            </w: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四、公共安全支出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三、经营收入及其他收入</w:t>
            </w:r>
          </w:p>
        </w:tc>
        <w:tc>
          <w:tcPr>
            <w:tcW w:w="1695"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0</w:t>
            </w: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五、教育支出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2,662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六、科学技术支出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七、文化体育与传媒支出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590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八、社会保障与就业支出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1,596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九、医疗卫生与计划生育支出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889</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十、节能环保支出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2"/>
                <w:szCs w:val="22"/>
              </w:rPr>
              <w:t>0</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十一、城乡社区支出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36,534</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十二、农林水支出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909</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十三、交通运输支出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十四、资源勘探信息等支出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2,723</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十五、商业服务业等支出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十六、金融支出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十七、援助其他地区支出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十八、国土海洋气象等支出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十九、住房保障支出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717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二十、粮油物资储备支出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二十一、其他支出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 xml:space="preserve">1,500 </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二十二、债务还本支出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p>
        </w:tc>
        <w:tc>
          <w:tcPr>
            <w:tcW w:w="1695"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2"/>
                <w:szCs w:val="22"/>
              </w:rPr>
            </w:pP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二十三、债务付息支出</w:t>
            </w:r>
          </w:p>
        </w:tc>
        <w:tc>
          <w:tcPr>
            <w:tcW w:w="1768"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本年收入合计</w:t>
            </w:r>
          </w:p>
        </w:tc>
        <w:tc>
          <w:tcPr>
            <w:tcW w:w="1695" w:type="dxa"/>
            <w:tcBorders>
              <w:top w:val="single" w:color="000000" w:sz="4" w:space="0"/>
              <w:right w:val="single" w:color="000000" w:sz="4" w:space="0"/>
            </w:tcBorders>
            <w:shd w:val="clear" w:color="auto" w:fill="auto"/>
            <w:vAlign w:val="center"/>
          </w:tcPr>
          <w:p>
            <w:pPr>
              <w:widowControl/>
              <w:spacing w:line="240" w:lineRule="atLeast"/>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52,378</w:t>
            </w: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本年支出合计</w:t>
            </w:r>
          </w:p>
        </w:tc>
        <w:tc>
          <w:tcPr>
            <w:tcW w:w="1768" w:type="dxa"/>
            <w:tcBorders>
              <w:top w:val="single" w:color="000000" w:sz="4" w:space="0"/>
              <w:right w:val="single" w:color="000000" w:sz="4" w:space="0"/>
            </w:tcBorders>
            <w:shd w:val="clear" w:color="auto" w:fill="auto"/>
            <w:vAlign w:val="center"/>
          </w:tcPr>
          <w:p>
            <w:pPr>
              <w:widowControl/>
              <w:spacing w:line="240" w:lineRule="atLeast"/>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52,378</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用事业基金弥补收支差额</w:t>
            </w:r>
          </w:p>
        </w:tc>
        <w:tc>
          <w:tcPr>
            <w:tcW w:w="1695" w:type="dxa"/>
            <w:tcBorders>
              <w:top w:val="single" w:color="000000" w:sz="4" w:space="0"/>
              <w:right w:val="single" w:color="000000" w:sz="4" w:space="0"/>
            </w:tcBorders>
            <w:shd w:val="clear" w:color="auto" w:fill="auto"/>
            <w:vAlign w:val="center"/>
          </w:tcPr>
          <w:p>
            <w:pPr>
              <w:widowControl/>
              <w:spacing w:line="240" w:lineRule="atLeast"/>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结转下年</w:t>
            </w:r>
          </w:p>
        </w:tc>
        <w:tc>
          <w:tcPr>
            <w:tcW w:w="1768" w:type="dxa"/>
            <w:tcBorders>
              <w:top w:val="single" w:color="000000" w:sz="4" w:space="0"/>
              <w:right w:val="single" w:color="000000" w:sz="4" w:space="0"/>
            </w:tcBorders>
            <w:shd w:val="clear" w:color="auto" w:fill="auto"/>
            <w:vAlign w:val="center"/>
          </w:tcPr>
          <w:p>
            <w:pPr>
              <w:widowControl/>
              <w:spacing w:line="240" w:lineRule="atLeast"/>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上年结转</w:t>
            </w:r>
          </w:p>
        </w:tc>
        <w:tc>
          <w:tcPr>
            <w:tcW w:w="1695" w:type="dxa"/>
            <w:tcBorders>
              <w:top w:val="single" w:color="000000" w:sz="4" w:space="0"/>
              <w:right w:val="single" w:color="000000" w:sz="4" w:space="0"/>
            </w:tcBorders>
            <w:shd w:val="clear" w:color="auto" w:fill="auto"/>
            <w:vAlign w:val="center"/>
          </w:tcPr>
          <w:p>
            <w:pPr>
              <w:widowControl/>
              <w:spacing w:line="240" w:lineRule="atLeast"/>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c>
          <w:tcPr>
            <w:tcW w:w="3120" w:type="dxa"/>
            <w:gridSpan w:val="4"/>
            <w:tcBorders>
              <w:top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p>
        </w:tc>
        <w:tc>
          <w:tcPr>
            <w:tcW w:w="1768" w:type="dxa"/>
            <w:tcBorders>
              <w:top w:val="single" w:color="000000" w:sz="4" w:space="0"/>
              <w:right w:val="single" w:color="000000" w:sz="4" w:space="0"/>
            </w:tcBorders>
            <w:shd w:val="clear" w:color="auto" w:fill="auto"/>
            <w:vAlign w:val="center"/>
          </w:tcPr>
          <w:p>
            <w:pPr>
              <w:spacing w:line="240" w:lineRule="atLeast"/>
              <w:jc w:val="left"/>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5" w:hRule="atLeast"/>
        </w:trPr>
        <w:tc>
          <w:tcPr>
            <w:tcW w:w="247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收入总计</w:t>
            </w:r>
          </w:p>
        </w:tc>
        <w:tc>
          <w:tcPr>
            <w:tcW w:w="1695" w:type="dxa"/>
            <w:tcBorders>
              <w:top w:val="single" w:color="000000" w:sz="4" w:space="0"/>
              <w:bottom w:val="single" w:color="000000" w:sz="4" w:space="0"/>
              <w:right w:val="single" w:color="000000" w:sz="4" w:space="0"/>
            </w:tcBorders>
            <w:shd w:val="clear" w:color="auto" w:fill="auto"/>
            <w:vAlign w:val="center"/>
          </w:tcPr>
          <w:p>
            <w:pPr>
              <w:widowControl/>
              <w:spacing w:line="240" w:lineRule="atLeast"/>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52,378</w:t>
            </w:r>
          </w:p>
        </w:tc>
        <w:tc>
          <w:tcPr>
            <w:tcW w:w="3120" w:type="dxa"/>
            <w:gridSpan w:val="4"/>
            <w:tcBorders>
              <w:top w:val="single" w:color="000000" w:sz="4" w:space="0"/>
              <w:bottom w:val="single" w:color="000000" w:sz="4" w:space="0"/>
              <w:right w:val="single" w:color="000000" w:sz="4" w:space="0"/>
            </w:tcBorders>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支出总计</w:t>
            </w:r>
          </w:p>
        </w:tc>
        <w:tc>
          <w:tcPr>
            <w:tcW w:w="1768" w:type="dxa"/>
            <w:tcBorders>
              <w:top w:val="single" w:color="000000" w:sz="4" w:space="0"/>
              <w:bottom w:val="single" w:color="000000" w:sz="4" w:space="0"/>
              <w:right w:val="single" w:color="000000" w:sz="4" w:space="0"/>
            </w:tcBorders>
            <w:shd w:val="clear" w:color="auto" w:fill="auto"/>
            <w:vAlign w:val="center"/>
          </w:tcPr>
          <w:p>
            <w:pPr>
              <w:widowControl/>
              <w:spacing w:line="240" w:lineRule="atLeast"/>
              <w:jc w:val="right"/>
              <w:textAlignment w:val="center"/>
              <w:rPr>
                <w:rFonts w:ascii="宋体" w:hAnsi="宋体" w:eastAsia="宋体" w:cs="宋体"/>
                <w:color w:val="000000"/>
                <w:sz w:val="22"/>
                <w:szCs w:val="22"/>
              </w:rPr>
            </w:pPr>
            <w:r>
              <w:rPr>
                <w:rFonts w:hint="eastAsia" w:ascii="宋体" w:hAnsi="宋体" w:eastAsia="宋体" w:cs="宋体"/>
                <w:color w:val="000000"/>
                <w:sz w:val="20"/>
                <w:szCs w:val="20"/>
              </w:rPr>
              <w:t>52,378</w:t>
            </w:r>
          </w:p>
        </w:tc>
      </w:tr>
    </w:tbl>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tbl>
      <w:tblPr>
        <w:tblStyle w:val="5"/>
        <w:tblW w:w="9179" w:type="dxa"/>
        <w:tblInd w:w="0" w:type="dxa"/>
        <w:tblLayout w:type="fixed"/>
        <w:tblCellMar>
          <w:top w:w="15" w:type="dxa"/>
          <w:left w:w="15" w:type="dxa"/>
          <w:bottom w:w="15" w:type="dxa"/>
          <w:right w:w="15" w:type="dxa"/>
        </w:tblCellMar>
      </w:tblPr>
      <w:tblGrid>
        <w:gridCol w:w="661"/>
        <w:gridCol w:w="171"/>
        <w:gridCol w:w="1214"/>
        <w:gridCol w:w="1247"/>
        <w:gridCol w:w="574"/>
        <w:gridCol w:w="246"/>
        <w:gridCol w:w="747"/>
        <w:gridCol w:w="72"/>
        <w:gridCol w:w="683"/>
        <w:gridCol w:w="240"/>
        <w:gridCol w:w="679"/>
        <w:gridCol w:w="663"/>
        <w:gridCol w:w="262"/>
        <w:gridCol w:w="342"/>
        <w:gridCol w:w="683"/>
        <w:gridCol w:w="695"/>
      </w:tblGrid>
      <w:tr>
        <w:tblPrEx>
          <w:tblLayout w:type="fixed"/>
          <w:tblCellMar>
            <w:top w:w="15" w:type="dxa"/>
            <w:left w:w="15" w:type="dxa"/>
            <w:bottom w:w="15" w:type="dxa"/>
            <w:right w:w="15" w:type="dxa"/>
          </w:tblCellMar>
        </w:tblPrEx>
        <w:trPr>
          <w:trHeight w:val="384" w:hRule="atLeast"/>
        </w:trPr>
        <w:tc>
          <w:tcPr>
            <w:tcW w:w="661" w:type="dxa"/>
            <w:shd w:val="clear" w:color="auto" w:fill="auto"/>
          </w:tcPr>
          <w:p>
            <w:pPr>
              <w:widowControl/>
              <w:spacing w:line="200" w:lineRule="atLeast"/>
              <w:jc w:val="left"/>
              <w:textAlignment w:val="top"/>
              <w:rPr>
                <w:rFonts w:ascii="宋体" w:hAnsi="宋体" w:eastAsia="宋体" w:cs="宋体"/>
                <w:color w:val="000000"/>
                <w:sz w:val="20"/>
                <w:szCs w:val="20"/>
              </w:rPr>
            </w:pPr>
            <w:r>
              <w:rPr>
                <w:rFonts w:hint="eastAsia" w:ascii="宋体" w:hAnsi="宋体" w:eastAsia="宋体" w:cs="宋体"/>
                <w:color w:val="000000"/>
                <w:sz w:val="20"/>
                <w:szCs w:val="20"/>
              </w:rPr>
              <w:t>表二</w:t>
            </w:r>
          </w:p>
        </w:tc>
        <w:tc>
          <w:tcPr>
            <w:tcW w:w="171" w:type="dxa"/>
            <w:shd w:val="clear" w:color="auto" w:fill="auto"/>
            <w:vAlign w:val="bottom"/>
          </w:tcPr>
          <w:p>
            <w:pPr>
              <w:spacing w:line="200" w:lineRule="atLeast"/>
              <w:rPr>
                <w:rFonts w:ascii="宋体" w:hAnsi="宋体" w:eastAsia="宋体" w:cs="宋体"/>
                <w:color w:val="000000"/>
                <w:sz w:val="20"/>
                <w:szCs w:val="20"/>
              </w:rPr>
            </w:pPr>
          </w:p>
        </w:tc>
        <w:tc>
          <w:tcPr>
            <w:tcW w:w="1214" w:type="dxa"/>
            <w:shd w:val="clear" w:color="auto" w:fill="auto"/>
            <w:vAlign w:val="bottom"/>
          </w:tcPr>
          <w:p>
            <w:pPr>
              <w:spacing w:line="200" w:lineRule="atLeast"/>
              <w:rPr>
                <w:rFonts w:ascii="宋体" w:hAnsi="宋体" w:eastAsia="宋体" w:cs="宋体"/>
                <w:color w:val="000000"/>
                <w:sz w:val="20"/>
                <w:szCs w:val="20"/>
              </w:rPr>
            </w:pPr>
          </w:p>
        </w:tc>
        <w:tc>
          <w:tcPr>
            <w:tcW w:w="4488" w:type="dxa"/>
            <w:gridSpan w:val="8"/>
            <w:shd w:val="clear" w:color="auto" w:fill="auto"/>
            <w:vAlign w:val="center"/>
          </w:tcPr>
          <w:p>
            <w:pPr>
              <w:widowControl/>
              <w:spacing w:line="200" w:lineRule="atLeast"/>
              <w:jc w:val="center"/>
              <w:textAlignment w:val="center"/>
              <w:rPr>
                <w:rFonts w:ascii="宋体" w:hAnsi="宋体" w:eastAsia="宋体" w:cs="宋体"/>
                <w:b/>
                <w:color w:val="000000"/>
                <w:sz w:val="28"/>
                <w:szCs w:val="28"/>
              </w:rPr>
            </w:pPr>
            <w:r>
              <w:rPr>
                <w:rFonts w:hint="eastAsia" w:ascii="宋体" w:hAnsi="宋体" w:eastAsia="宋体" w:cs="宋体"/>
                <w:b/>
                <w:color w:val="000000"/>
                <w:sz w:val="28"/>
                <w:szCs w:val="28"/>
              </w:rPr>
              <w:t>部门收入总表</w:t>
            </w:r>
          </w:p>
        </w:tc>
        <w:tc>
          <w:tcPr>
            <w:tcW w:w="925" w:type="dxa"/>
            <w:gridSpan w:val="2"/>
            <w:shd w:val="clear" w:color="auto" w:fill="auto"/>
            <w:vAlign w:val="bottom"/>
          </w:tcPr>
          <w:p>
            <w:pPr>
              <w:spacing w:line="200" w:lineRule="atLeast"/>
              <w:rPr>
                <w:rFonts w:ascii="宋体" w:hAnsi="宋体" w:eastAsia="宋体" w:cs="宋体"/>
                <w:color w:val="000000"/>
                <w:sz w:val="20"/>
                <w:szCs w:val="20"/>
              </w:rPr>
            </w:pPr>
          </w:p>
        </w:tc>
        <w:tc>
          <w:tcPr>
            <w:tcW w:w="342" w:type="dxa"/>
            <w:shd w:val="clear" w:color="auto" w:fill="auto"/>
            <w:vAlign w:val="bottom"/>
          </w:tcPr>
          <w:p>
            <w:pPr>
              <w:spacing w:line="200" w:lineRule="atLeast"/>
              <w:rPr>
                <w:rFonts w:ascii="宋体" w:hAnsi="宋体" w:eastAsia="宋体" w:cs="宋体"/>
                <w:color w:val="000000"/>
                <w:sz w:val="20"/>
                <w:szCs w:val="20"/>
              </w:rPr>
            </w:pPr>
          </w:p>
        </w:tc>
        <w:tc>
          <w:tcPr>
            <w:tcW w:w="683" w:type="dxa"/>
            <w:shd w:val="clear" w:color="auto" w:fill="auto"/>
            <w:vAlign w:val="bottom"/>
          </w:tcPr>
          <w:p>
            <w:pPr>
              <w:spacing w:line="200" w:lineRule="atLeast"/>
              <w:rPr>
                <w:rFonts w:ascii="宋体" w:hAnsi="宋体" w:eastAsia="宋体" w:cs="宋体"/>
                <w:color w:val="000000"/>
                <w:sz w:val="20"/>
                <w:szCs w:val="20"/>
              </w:rPr>
            </w:pPr>
          </w:p>
        </w:tc>
        <w:tc>
          <w:tcPr>
            <w:tcW w:w="695" w:type="dxa"/>
            <w:shd w:val="clear" w:color="auto" w:fill="auto"/>
            <w:vAlign w:val="bottom"/>
          </w:tcPr>
          <w:p>
            <w:pPr>
              <w:spacing w:line="200" w:lineRule="atLeast"/>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383" w:hRule="atLeast"/>
        </w:trPr>
        <w:tc>
          <w:tcPr>
            <w:tcW w:w="3867" w:type="dxa"/>
            <w:gridSpan w:val="5"/>
            <w:shd w:val="clear" w:color="auto" w:fill="auto"/>
            <w:vAlign w:val="center"/>
          </w:tcPr>
          <w:p>
            <w:pPr>
              <w:widowControl/>
              <w:spacing w:line="20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部门：深圳市龙岗区吉华街道办事处</w:t>
            </w:r>
          </w:p>
        </w:tc>
        <w:tc>
          <w:tcPr>
            <w:tcW w:w="993" w:type="dxa"/>
            <w:gridSpan w:val="2"/>
            <w:shd w:val="clear" w:color="auto" w:fill="auto"/>
            <w:vAlign w:val="bottom"/>
          </w:tcPr>
          <w:p>
            <w:pPr>
              <w:spacing w:line="200" w:lineRule="atLeast"/>
              <w:rPr>
                <w:rFonts w:ascii="宋体" w:hAnsi="宋体" w:eastAsia="宋体" w:cs="宋体"/>
                <w:color w:val="000000"/>
                <w:sz w:val="20"/>
                <w:szCs w:val="20"/>
              </w:rPr>
            </w:pPr>
          </w:p>
        </w:tc>
        <w:tc>
          <w:tcPr>
            <w:tcW w:w="995" w:type="dxa"/>
            <w:gridSpan w:val="3"/>
            <w:shd w:val="clear" w:color="auto" w:fill="auto"/>
            <w:vAlign w:val="bottom"/>
          </w:tcPr>
          <w:p>
            <w:pPr>
              <w:spacing w:line="200" w:lineRule="atLeast"/>
              <w:rPr>
                <w:rFonts w:ascii="宋体" w:hAnsi="宋体" w:eastAsia="宋体" w:cs="宋体"/>
                <w:color w:val="000000"/>
                <w:sz w:val="20"/>
                <w:szCs w:val="20"/>
              </w:rPr>
            </w:pPr>
          </w:p>
        </w:tc>
        <w:tc>
          <w:tcPr>
            <w:tcW w:w="679" w:type="dxa"/>
            <w:shd w:val="clear" w:color="auto" w:fill="auto"/>
            <w:vAlign w:val="bottom"/>
          </w:tcPr>
          <w:p>
            <w:pPr>
              <w:spacing w:line="200" w:lineRule="atLeast"/>
              <w:rPr>
                <w:rFonts w:ascii="宋体" w:hAnsi="宋体" w:eastAsia="宋体" w:cs="宋体"/>
                <w:color w:val="000000"/>
                <w:sz w:val="20"/>
                <w:szCs w:val="20"/>
              </w:rPr>
            </w:pPr>
          </w:p>
        </w:tc>
        <w:tc>
          <w:tcPr>
            <w:tcW w:w="925" w:type="dxa"/>
            <w:gridSpan w:val="2"/>
            <w:shd w:val="clear" w:color="auto" w:fill="auto"/>
            <w:vAlign w:val="bottom"/>
          </w:tcPr>
          <w:p>
            <w:pPr>
              <w:spacing w:line="200" w:lineRule="atLeast"/>
              <w:rPr>
                <w:rFonts w:ascii="宋体" w:hAnsi="宋体" w:eastAsia="宋体" w:cs="宋体"/>
                <w:color w:val="000000"/>
                <w:sz w:val="20"/>
                <w:szCs w:val="20"/>
              </w:rPr>
            </w:pPr>
          </w:p>
        </w:tc>
        <w:tc>
          <w:tcPr>
            <w:tcW w:w="342" w:type="dxa"/>
            <w:shd w:val="clear" w:color="auto" w:fill="auto"/>
            <w:vAlign w:val="bottom"/>
          </w:tcPr>
          <w:p>
            <w:pPr>
              <w:spacing w:line="200" w:lineRule="atLeast"/>
              <w:rPr>
                <w:rFonts w:ascii="宋体" w:hAnsi="宋体" w:eastAsia="宋体" w:cs="宋体"/>
                <w:color w:val="000000"/>
                <w:sz w:val="20"/>
                <w:szCs w:val="20"/>
              </w:rPr>
            </w:pPr>
          </w:p>
        </w:tc>
        <w:tc>
          <w:tcPr>
            <w:tcW w:w="683" w:type="dxa"/>
            <w:shd w:val="clear" w:color="auto" w:fill="auto"/>
            <w:vAlign w:val="bottom"/>
          </w:tcPr>
          <w:p>
            <w:pPr>
              <w:spacing w:line="200" w:lineRule="atLeast"/>
              <w:rPr>
                <w:rFonts w:ascii="宋体" w:hAnsi="宋体" w:eastAsia="宋体" w:cs="宋体"/>
                <w:color w:val="000000"/>
                <w:sz w:val="20"/>
                <w:szCs w:val="20"/>
              </w:rPr>
            </w:pPr>
            <w:r>
              <w:rPr>
                <w:rFonts w:hint="eastAsia" w:ascii="宋体" w:hAnsi="宋体" w:eastAsia="宋体" w:cs="宋体"/>
                <w:color w:val="000000"/>
                <w:sz w:val="20"/>
                <w:szCs w:val="20"/>
              </w:rPr>
              <w:t>单位：</w:t>
            </w:r>
          </w:p>
        </w:tc>
        <w:tc>
          <w:tcPr>
            <w:tcW w:w="695" w:type="dxa"/>
            <w:shd w:val="clear" w:color="auto" w:fill="auto"/>
            <w:vAlign w:val="center"/>
          </w:tcPr>
          <w:p>
            <w:pPr>
              <w:widowControl/>
              <w:spacing w:line="200" w:lineRule="atLeast"/>
              <w:ind w:right="100"/>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万元</w:t>
            </w:r>
          </w:p>
        </w:tc>
      </w:tr>
      <w:tr>
        <w:tblPrEx>
          <w:tblLayout w:type="fixed"/>
          <w:tblCellMar>
            <w:top w:w="15" w:type="dxa"/>
            <w:left w:w="15" w:type="dxa"/>
            <w:bottom w:w="15" w:type="dxa"/>
            <w:right w:w="15" w:type="dxa"/>
          </w:tblCellMar>
        </w:tblPrEx>
        <w:trPr>
          <w:trHeight w:val="383" w:hRule="atLeast"/>
        </w:trPr>
        <w:tc>
          <w:tcPr>
            <w:tcW w:w="83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科目编码</w:t>
            </w:r>
          </w:p>
        </w:tc>
        <w:tc>
          <w:tcPr>
            <w:tcW w:w="246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科目名称</w:t>
            </w:r>
          </w:p>
        </w:tc>
        <w:tc>
          <w:tcPr>
            <w:tcW w:w="8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收入合计</w:t>
            </w:r>
          </w:p>
        </w:tc>
        <w:tc>
          <w:tcPr>
            <w:tcW w:w="3688"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本年收入</w:t>
            </w:r>
          </w:p>
        </w:tc>
        <w:tc>
          <w:tcPr>
            <w:tcW w:w="6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用事业基金弥补收支差额</w:t>
            </w:r>
          </w:p>
        </w:tc>
        <w:tc>
          <w:tcPr>
            <w:tcW w:w="6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上年结余、结转</w:t>
            </w:r>
          </w:p>
        </w:tc>
      </w:tr>
      <w:tr>
        <w:tblPrEx>
          <w:tblLayout w:type="fixed"/>
          <w:tblCellMar>
            <w:top w:w="15" w:type="dxa"/>
            <w:left w:w="15" w:type="dxa"/>
            <w:bottom w:w="15" w:type="dxa"/>
            <w:right w:w="15" w:type="dxa"/>
          </w:tblCellMar>
        </w:tblPrEx>
        <w:trPr>
          <w:trHeight w:val="383" w:hRule="atLeast"/>
        </w:trPr>
        <w:tc>
          <w:tcPr>
            <w:tcW w:w="83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c>
          <w:tcPr>
            <w:tcW w:w="246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c>
          <w:tcPr>
            <w:tcW w:w="8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c>
          <w:tcPr>
            <w:tcW w:w="242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财政预算拨款</w:t>
            </w:r>
          </w:p>
        </w:tc>
        <w:tc>
          <w:tcPr>
            <w:tcW w:w="6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财政专户拨款</w:t>
            </w:r>
          </w:p>
        </w:tc>
        <w:tc>
          <w:tcPr>
            <w:tcW w:w="60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经营及其他收入</w:t>
            </w:r>
          </w:p>
        </w:tc>
        <w:tc>
          <w:tcPr>
            <w:tcW w:w="6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c>
          <w:tcPr>
            <w:tcW w:w="6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383" w:hRule="atLeast"/>
        </w:trPr>
        <w:tc>
          <w:tcPr>
            <w:tcW w:w="832" w:type="dxa"/>
            <w:gridSpan w:val="2"/>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c>
          <w:tcPr>
            <w:tcW w:w="2461" w:type="dxa"/>
            <w:gridSpan w:val="2"/>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c>
          <w:tcPr>
            <w:tcW w:w="820" w:type="dxa"/>
            <w:gridSpan w:val="2"/>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c>
          <w:tcPr>
            <w:tcW w:w="81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小计</w:t>
            </w:r>
          </w:p>
        </w:tc>
        <w:tc>
          <w:tcPr>
            <w:tcW w:w="683"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一般公共预算拨款</w:t>
            </w:r>
          </w:p>
        </w:tc>
        <w:tc>
          <w:tcPr>
            <w:tcW w:w="91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政府性基金预算拨款</w:t>
            </w:r>
          </w:p>
        </w:tc>
        <w:tc>
          <w:tcPr>
            <w:tcW w:w="663"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c>
          <w:tcPr>
            <w:tcW w:w="604" w:type="dxa"/>
            <w:gridSpan w:val="2"/>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c>
          <w:tcPr>
            <w:tcW w:w="683"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c>
          <w:tcPr>
            <w:tcW w:w="695"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spacing w:line="200" w:lineRule="atLeast"/>
              <w:jc w:val="cente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spacing w:line="200" w:lineRule="atLeast"/>
              <w:rPr>
                <w:rFonts w:ascii="宋体" w:hAnsi="宋体" w:eastAsia="宋体" w:cs="宋体"/>
                <w:color w:val="000000"/>
                <w:sz w:val="20"/>
                <w:szCs w:val="20"/>
              </w:rPr>
            </w:pP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0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合计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52,378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52,378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46,830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5,548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一般公共服务支出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4,258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4,258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4,258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人大事务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2010199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其他人大事务支出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20105</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统计信息事务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2010599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其他统计信息事务支出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20106</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95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95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95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2010699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其他财政事务支出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95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95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95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纪检监察事务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2011199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其他纪检监察事务支出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20113</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商贸事务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164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164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164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2011399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其他商贸事务支出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164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164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164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20129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群众团体事务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210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210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210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2012999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其他群众团体事务支出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210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210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210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20132</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组织事务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380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380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380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2013299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其他组织事务支出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380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380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380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20133</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宣传事务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364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364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364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2013399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其他宣传事务支出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364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364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364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20134</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统战事务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2013499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其他统战事务支出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20136</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其他共产党事务支出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572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572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572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2013602</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一般行政管理事务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26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26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2013699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其他共产党事务支出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547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547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547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其他一般公共服务支出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2,252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2,252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2,252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2019999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其他一般公共服务支出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2,252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2,252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2,252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公共安全支出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2,662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2,662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2,662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20406</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司法</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206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206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2040604</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基层司法业务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206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206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206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其他公共安全支出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2,456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2,456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2,456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2049901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其他公共安全支出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699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699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699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2049902</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其他消防</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1,757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1,757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1,757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207</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文化体育与传媒支出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590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590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590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20799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其他文化体育与传媒支出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590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590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590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2079999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其他文化体育与传媒支出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590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590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590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社会保障与就业支出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1,596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1,596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1,596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人力资源</w:t>
            </w:r>
            <w:r>
              <w:rPr>
                <w:rFonts w:hint="eastAsia" w:ascii="宋体" w:hAnsi="宋体" w:eastAsia="宋体" w:cs="宋体"/>
                <w:color w:val="000000"/>
                <w:sz w:val="20"/>
                <w:szCs w:val="20"/>
                <w:lang w:eastAsia="zh-CN"/>
              </w:rPr>
              <w:t>和</w:t>
            </w:r>
            <w:r>
              <w:rPr>
                <w:rFonts w:hint="eastAsia" w:ascii="宋体" w:hAnsi="宋体" w:eastAsia="宋体" w:cs="宋体"/>
                <w:color w:val="000000"/>
                <w:sz w:val="20"/>
                <w:szCs w:val="20"/>
              </w:rPr>
              <w:t>社会保障管理事务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191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191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191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2080105</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劳动保障监察</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153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153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153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2080106</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就业管理事务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38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38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38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20802</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民政管理事务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120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120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120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2080299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其他民政管理事务支出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120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120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120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行政事业单位离退休</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525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525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525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2080502</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事业单位离退休</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44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44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44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2080503</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离退休人员管理机构</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49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49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49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2080505</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机关事业单位基本养老保险缴费支出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252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252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252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2080506</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机关事业单位职业年金缴费支出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180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180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180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退役安置</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192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192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192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2080999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其他退役安置支出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192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192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192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20810</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社会福利</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159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159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159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2081099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其他社会福利支出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159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159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159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残疾人事业</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394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394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394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2081199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其他残疾人事业支出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394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394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394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最低生活保障</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2081901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城市最低生活保障金支出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医疗卫生与计划生育支出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889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889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889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21007</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计划生育事务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189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189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189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2100799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其他计划生育事务支出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189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189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189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21010</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食品和药品监督管理事务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539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539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539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2101099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其他食品和药品监督管理事务支出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539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539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539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行政事业单位医疗</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161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161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161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2101101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行政单位医疗</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85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85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85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2101102</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事业单位医疗</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76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76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76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36,534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36,534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30,986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5,548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城乡社区管理事务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3,708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3,708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3,708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2120102</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一般行政管理事务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231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231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231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2120104</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城管执法</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3,345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3,345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3,345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2120106</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工程建设管理</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132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132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132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21203</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城乡社区公共设施</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2,961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2,961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2,961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2120303</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小城镇基础设施建设</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2,500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2,500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2,500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2120399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其他城乡社区公共设施支出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461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461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461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21205</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城乡社区环境卫生</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8,093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8,093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8,093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2120501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城乡社区环境卫生</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8,093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8,093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8,093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国有土地使用权出让收入及对应专项债务收入安排的支出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5,548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5,548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5,548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征地和拆迁补偿支出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4,000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4,000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4,000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2120803</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城市建设支出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1,548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1,548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1,548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其他城乡社区支出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16,224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16,224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16,224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2129999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其他城乡社区支出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16,224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16,224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16,224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农林水支出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909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909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909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农业</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352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352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352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2130199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其他农业支出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352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352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352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21302</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林业</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166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166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2130299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其他林业支出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166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166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166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21303</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水利</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280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280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280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2130306</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水利工程运行与维护</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175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175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175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2130314</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防汛</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105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105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105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其他农林水支出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111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111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111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2139999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其他农林水支出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111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111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111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资源勘探信息等支出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2,723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2,723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2,723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21506</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安全生产监管</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2,723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2,723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2,723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2150605</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安全监管监察专项</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1,000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1,000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1,000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2150699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其他安全生产监管支出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1,723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1,723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1,723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住房保障支出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717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717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717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22102</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住房改革支出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717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717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717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2210201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住房公积金</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390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390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390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2210203</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购房补贴</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327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327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327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1,500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1,500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1,500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22999</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1,500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1,500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1,500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383" w:hRule="atLeast"/>
        </w:trPr>
        <w:tc>
          <w:tcPr>
            <w:tcW w:w="8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2299901</w:t>
            </w:r>
          </w:p>
        </w:tc>
        <w:tc>
          <w:tcPr>
            <w:tcW w:w="246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8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1,500 </w:t>
            </w:r>
          </w:p>
        </w:tc>
        <w:tc>
          <w:tcPr>
            <w:tcW w:w="8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1,500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1,500 </w:t>
            </w:r>
          </w:p>
        </w:tc>
        <w:tc>
          <w:tcPr>
            <w:tcW w:w="9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0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8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6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bl>
    <w:p>
      <w:pPr>
        <w:spacing w:line="200" w:lineRule="atLeast"/>
        <w:rPr>
          <w:sz w:val="21"/>
          <w:szCs w:val="21"/>
        </w:rPr>
      </w:pPr>
    </w:p>
    <w:p>
      <w:pPr>
        <w:spacing w:line="20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tbl>
      <w:tblPr>
        <w:tblStyle w:val="5"/>
        <w:tblW w:w="9148" w:type="dxa"/>
        <w:tblInd w:w="0" w:type="dxa"/>
        <w:tblLayout w:type="fixed"/>
        <w:tblCellMar>
          <w:top w:w="15" w:type="dxa"/>
          <w:left w:w="15" w:type="dxa"/>
          <w:bottom w:w="15" w:type="dxa"/>
          <w:right w:w="15" w:type="dxa"/>
        </w:tblCellMar>
      </w:tblPr>
      <w:tblGrid>
        <w:gridCol w:w="1140"/>
        <w:gridCol w:w="3345"/>
        <w:gridCol w:w="66"/>
        <w:gridCol w:w="1462"/>
        <w:gridCol w:w="152"/>
        <w:gridCol w:w="960"/>
        <w:gridCol w:w="418"/>
        <w:gridCol w:w="1605"/>
      </w:tblGrid>
      <w:tr>
        <w:tblPrEx>
          <w:tblLayout w:type="fixed"/>
          <w:tblCellMar>
            <w:top w:w="15" w:type="dxa"/>
            <w:left w:w="15" w:type="dxa"/>
            <w:bottom w:w="15" w:type="dxa"/>
            <w:right w:w="15" w:type="dxa"/>
          </w:tblCellMar>
        </w:tblPrEx>
        <w:trPr>
          <w:trHeight w:val="286" w:hRule="atLeast"/>
        </w:trPr>
        <w:tc>
          <w:tcPr>
            <w:tcW w:w="1140" w:type="dxa"/>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表三</w:t>
            </w:r>
          </w:p>
        </w:tc>
        <w:tc>
          <w:tcPr>
            <w:tcW w:w="3345" w:type="dxa"/>
            <w:shd w:val="clear" w:color="auto" w:fill="auto"/>
            <w:vAlign w:val="bottom"/>
          </w:tcPr>
          <w:p>
            <w:pPr>
              <w:rPr>
                <w:rFonts w:ascii="宋体" w:hAnsi="宋体" w:eastAsia="宋体" w:cs="宋体"/>
                <w:color w:val="000000"/>
                <w:sz w:val="20"/>
                <w:szCs w:val="20"/>
              </w:rPr>
            </w:pPr>
          </w:p>
        </w:tc>
        <w:tc>
          <w:tcPr>
            <w:tcW w:w="1680" w:type="dxa"/>
            <w:gridSpan w:val="3"/>
            <w:shd w:val="clear" w:color="auto" w:fill="auto"/>
            <w:vAlign w:val="bottom"/>
          </w:tcPr>
          <w:p>
            <w:pPr>
              <w:rPr>
                <w:rFonts w:ascii="宋体" w:hAnsi="宋体" w:eastAsia="宋体" w:cs="宋体"/>
                <w:color w:val="000000"/>
                <w:sz w:val="20"/>
                <w:szCs w:val="20"/>
              </w:rPr>
            </w:pPr>
          </w:p>
        </w:tc>
        <w:tc>
          <w:tcPr>
            <w:tcW w:w="960" w:type="dxa"/>
            <w:shd w:val="clear" w:color="auto" w:fill="auto"/>
            <w:vAlign w:val="bottom"/>
          </w:tcPr>
          <w:p>
            <w:pPr>
              <w:rPr>
                <w:rFonts w:ascii="宋体" w:hAnsi="宋体" w:eastAsia="宋体" w:cs="宋体"/>
                <w:color w:val="000000"/>
                <w:sz w:val="20"/>
                <w:szCs w:val="20"/>
              </w:rPr>
            </w:pPr>
          </w:p>
        </w:tc>
        <w:tc>
          <w:tcPr>
            <w:tcW w:w="2023" w:type="dxa"/>
            <w:gridSpan w:val="2"/>
            <w:shd w:val="clear" w:color="auto" w:fill="auto"/>
            <w:vAlign w:val="bottom"/>
          </w:tcPr>
          <w:p>
            <w:pP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5" w:hRule="atLeast"/>
        </w:trPr>
        <w:tc>
          <w:tcPr>
            <w:tcW w:w="9148" w:type="dxa"/>
            <w:gridSpan w:val="8"/>
            <w:shd w:val="clear" w:color="auto" w:fill="auto"/>
            <w:vAlign w:val="center"/>
          </w:tcPr>
          <w:p>
            <w:pPr>
              <w:widowControl/>
              <w:jc w:val="center"/>
              <w:textAlignment w:val="center"/>
              <w:rPr>
                <w:rFonts w:ascii="宋体" w:hAnsi="宋体" w:eastAsia="宋体" w:cs="宋体"/>
                <w:b/>
                <w:color w:val="000000"/>
                <w:sz w:val="28"/>
                <w:szCs w:val="28"/>
              </w:rPr>
            </w:pPr>
            <w:r>
              <w:rPr>
                <w:rFonts w:hint="eastAsia" w:ascii="宋体" w:hAnsi="宋体" w:eastAsia="宋体" w:cs="宋体"/>
                <w:b/>
                <w:color w:val="000000"/>
                <w:sz w:val="28"/>
                <w:szCs w:val="28"/>
              </w:rPr>
              <w:t>部门支出总表（按功能科目）</w:t>
            </w:r>
          </w:p>
        </w:tc>
      </w:tr>
      <w:tr>
        <w:tblPrEx>
          <w:tblLayout w:type="fixed"/>
          <w:tblCellMar>
            <w:top w:w="15" w:type="dxa"/>
            <w:left w:w="15" w:type="dxa"/>
            <w:bottom w:w="15" w:type="dxa"/>
            <w:right w:w="15" w:type="dxa"/>
          </w:tblCellMar>
        </w:tblPrEx>
        <w:trPr>
          <w:trHeight w:val="285" w:hRule="atLeast"/>
        </w:trPr>
        <w:tc>
          <w:tcPr>
            <w:tcW w:w="6013" w:type="dxa"/>
            <w:gridSpan w:val="4"/>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部门：深圳市龙岗区吉华街道办事处</w:t>
            </w:r>
          </w:p>
        </w:tc>
        <w:tc>
          <w:tcPr>
            <w:tcW w:w="1530" w:type="dxa"/>
            <w:gridSpan w:val="3"/>
            <w:shd w:val="clear" w:color="auto" w:fill="auto"/>
            <w:vAlign w:val="bottom"/>
          </w:tcPr>
          <w:p>
            <w:pPr>
              <w:rPr>
                <w:rFonts w:ascii="宋体" w:hAnsi="宋体" w:eastAsia="宋体" w:cs="宋体"/>
                <w:color w:val="000000"/>
                <w:sz w:val="20"/>
                <w:szCs w:val="20"/>
              </w:rPr>
            </w:pPr>
          </w:p>
        </w:tc>
        <w:tc>
          <w:tcPr>
            <w:tcW w:w="1605" w:type="dxa"/>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单位：万元</w:t>
            </w:r>
          </w:p>
        </w:tc>
      </w:tr>
      <w:tr>
        <w:tblPrEx>
          <w:tblLayout w:type="fixed"/>
          <w:tblCellMar>
            <w:top w:w="15" w:type="dxa"/>
            <w:left w:w="15" w:type="dxa"/>
            <w:bottom w:w="15" w:type="dxa"/>
            <w:right w:w="15" w:type="dxa"/>
          </w:tblCellMar>
        </w:tblPrEx>
        <w:trPr>
          <w:trHeight w:val="285" w:hRule="atLeast"/>
        </w:trPr>
        <w:tc>
          <w:tcPr>
            <w:tcW w:w="114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科目编码</w:t>
            </w:r>
          </w:p>
        </w:tc>
        <w:tc>
          <w:tcPr>
            <w:tcW w:w="3411"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科目名称</w:t>
            </w:r>
          </w:p>
        </w:tc>
        <w:tc>
          <w:tcPr>
            <w:tcW w:w="1462"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支出合计</w:t>
            </w:r>
          </w:p>
        </w:tc>
        <w:tc>
          <w:tcPr>
            <w:tcW w:w="1530" w:type="dxa"/>
            <w:gridSpan w:val="3"/>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基本支出</w:t>
            </w:r>
          </w:p>
        </w:tc>
        <w:tc>
          <w:tcPr>
            <w:tcW w:w="160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项目支出</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bottom"/>
          </w:tcPr>
          <w:p>
            <w:pPr>
              <w:rPr>
                <w:rFonts w:ascii="宋体" w:hAnsi="宋体" w:eastAsia="宋体" w:cs="宋体"/>
                <w:color w:val="000000"/>
                <w:sz w:val="20"/>
                <w:szCs w:val="20"/>
              </w:rPr>
            </w:pP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合计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52,378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16,771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35,607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一般公共服务支出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4,258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179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4,079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人大事务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2010199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其他人大事务支出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20105</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统计信息事务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2010599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其他统计信息事务支出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20106</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95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2010699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其他财政事务支出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95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纪检监察事务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2011199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其他纪检监察事务支出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20113</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商贸事务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164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164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2011399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其他商贸事务支出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164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164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20129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群众团体事务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2012999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其他群众团体事务支出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20132</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组织事务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2013299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其他组织事务支出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20133</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宣传事务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364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364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2013399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其他宣传事务支出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364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364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20134</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统战事务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2013499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其他统战事务支出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20136</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其他共产党事务支出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572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76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496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2013602</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一般行政管理事务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2013699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其他共产党事务支出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547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76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471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其他一般公共服务支出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2,252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103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2,150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2019999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其他一般公共服务支出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2,252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103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2,150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公共安全支出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2,662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2,662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20406</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司法</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206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206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2040604</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基层司法业务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206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206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其他公共安全支出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2,456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2,456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2049901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其他公共安全支出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699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699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2049902</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其他消防</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1,757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1,757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207</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文化体育与传媒支出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590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415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20799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其他文化体育与传媒支出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590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415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2079999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其他文化体育与传媒支出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590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415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社会保障与就业支出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1,596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476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1,120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人力资源</w:t>
            </w:r>
            <w:r>
              <w:rPr>
                <w:rFonts w:hint="eastAsia" w:ascii="宋体" w:hAnsi="宋体" w:eastAsia="宋体" w:cs="宋体"/>
                <w:color w:val="000000"/>
                <w:sz w:val="20"/>
                <w:szCs w:val="20"/>
                <w:lang w:eastAsia="zh-CN"/>
              </w:rPr>
              <w:t>和</w:t>
            </w:r>
            <w:r>
              <w:rPr>
                <w:rFonts w:hint="eastAsia" w:ascii="宋体" w:hAnsi="宋体" w:eastAsia="宋体" w:cs="宋体"/>
                <w:color w:val="000000"/>
                <w:sz w:val="20"/>
                <w:szCs w:val="20"/>
              </w:rPr>
              <w:t>社会保障管理事务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191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191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2080105</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劳动保障监察</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153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153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2080106</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就业管理事务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20802</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民政管理事务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2080299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其他民政管理事务支出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行政事业单位离退休</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525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476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49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2080502</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事业单位离退休</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44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44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2080503</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离退休人员管理机构</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49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49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2080505</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机关事业单位基本养老保险缴费支出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252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252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2080506</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机关事业单位职业年金缴费支出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退役安置</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192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192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2080999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其他退役安置支出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192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192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20810</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社会福利</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2081099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其他社会福利支出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残疾人事业</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394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394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2081199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其他残疾人事业支出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394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394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最低生活保障</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2081901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城市最低生活保障金支出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医疗卫生与计划生育支出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889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365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524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21007</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计划生育事务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189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189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2100799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其他计划生育事务支出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189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189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21010</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食品和药品监督管理事务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539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204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335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2101099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其他食品和药品监督管理事务支出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539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204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335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行政事业单位医疗</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161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161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2101101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行政单位医疗</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85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85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2101102</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事业单位医疗</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76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76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36,534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14,748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21,786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城乡社区管理事务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3,708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1,006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2,702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2120102</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一般行政管理事务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231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231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2120104</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城管执法</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3,345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1,006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2,339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2120106</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工程建设管理</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132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132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21203</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城乡社区公共设施</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2,961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2,961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2120303</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小城镇基础设施建设</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2,500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2,500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2120399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其他城乡社区公共设施支出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461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461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21205</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城乡社区环境卫生</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8,093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218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7,875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2120501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城乡社区环境卫生</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8,093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218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7,875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国有土地使用权出让收入及对应专项债务收入安排的支出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5,548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5,548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征地和拆迁补偿支出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4,000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4,000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2120803</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城市建设支出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1,548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1,548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其他城乡社区支出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16,224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13,524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2,700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2129999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其他城乡社区支出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16,224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13,524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2,700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农林水支出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909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111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797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农业</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352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352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2130199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其他农业支出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352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352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21302</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林业</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166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166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2130299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其他林业支出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166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166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21303</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水利</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280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280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2130306</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水利工程运行与维护</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2130314</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防汛</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105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105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其他农林水支出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111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111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2139999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其他农林水支出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111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111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资源勘探信息等支出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2,723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2,723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21506</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安全生产监管</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2,723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2,723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2150605</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安全监管监察专项</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1,000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1,000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2150699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其他安全生产监管支出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1,723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1,723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住房保障支出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717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717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22102</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住房改革支出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717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717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2210201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住房公积金</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2210203</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购房补贴</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327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327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22999</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r>
      <w:tr>
        <w:tblPrEx>
          <w:tblLayout w:type="fixed"/>
          <w:tblCellMar>
            <w:top w:w="15" w:type="dxa"/>
            <w:left w:w="15" w:type="dxa"/>
            <w:bottom w:w="15" w:type="dxa"/>
            <w:right w:w="15" w:type="dxa"/>
          </w:tblCellMar>
        </w:tblPrEx>
        <w:trPr>
          <w:trHeight w:val="285" w:hRule="atLeast"/>
        </w:trPr>
        <w:tc>
          <w:tcPr>
            <w:tcW w:w="1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2299901</w:t>
            </w:r>
          </w:p>
        </w:tc>
        <w:tc>
          <w:tcPr>
            <w:tcW w:w="34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14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c>
          <w:tcPr>
            <w:tcW w:w="153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6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r>
    </w:tbl>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tbl>
      <w:tblPr>
        <w:tblStyle w:val="5"/>
        <w:tblW w:w="9028" w:type="dxa"/>
        <w:tblInd w:w="0" w:type="dxa"/>
        <w:tblLayout w:type="fixed"/>
        <w:tblCellMar>
          <w:top w:w="15" w:type="dxa"/>
          <w:left w:w="15" w:type="dxa"/>
          <w:bottom w:w="15" w:type="dxa"/>
          <w:right w:w="15" w:type="dxa"/>
        </w:tblCellMar>
      </w:tblPr>
      <w:tblGrid>
        <w:gridCol w:w="1301"/>
        <w:gridCol w:w="1285"/>
        <w:gridCol w:w="1107"/>
        <w:gridCol w:w="902"/>
        <w:gridCol w:w="850"/>
        <w:gridCol w:w="850"/>
        <w:gridCol w:w="851"/>
        <w:gridCol w:w="1882"/>
      </w:tblGrid>
      <w:tr>
        <w:tblPrEx>
          <w:tblLayout w:type="fixed"/>
          <w:tblCellMar>
            <w:top w:w="15" w:type="dxa"/>
            <w:left w:w="15" w:type="dxa"/>
            <w:bottom w:w="15" w:type="dxa"/>
            <w:right w:w="15" w:type="dxa"/>
          </w:tblCellMar>
        </w:tblPrEx>
        <w:trPr>
          <w:trHeight w:val="286" w:hRule="atLeast"/>
        </w:trPr>
        <w:tc>
          <w:tcPr>
            <w:tcW w:w="1301" w:type="dxa"/>
            <w:shd w:val="clear" w:color="auto" w:fill="auto"/>
          </w:tcPr>
          <w:p>
            <w:pPr>
              <w:widowControl/>
              <w:jc w:val="left"/>
              <w:textAlignment w:val="top"/>
              <w:rPr>
                <w:rFonts w:ascii="宋体" w:hAnsi="宋体" w:eastAsia="宋体" w:cs="宋体"/>
                <w:color w:val="000000"/>
                <w:sz w:val="20"/>
                <w:szCs w:val="20"/>
              </w:rPr>
            </w:pPr>
            <w:r>
              <w:rPr>
                <w:rFonts w:hint="eastAsia" w:ascii="宋体" w:hAnsi="宋体" w:eastAsia="宋体" w:cs="宋体"/>
                <w:color w:val="000000"/>
                <w:sz w:val="20"/>
                <w:szCs w:val="20"/>
              </w:rPr>
              <w:t>表四</w:t>
            </w:r>
          </w:p>
        </w:tc>
        <w:tc>
          <w:tcPr>
            <w:tcW w:w="5845" w:type="dxa"/>
            <w:gridSpan w:val="6"/>
            <w:shd w:val="clear" w:color="auto" w:fill="auto"/>
            <w:vAlign w:val="center"/>
          </w:tcPr>
          <w:p>
            <w:pPr>
              <w:widowControl/>
              <w:jc w:val="center"/>
              <w:textAlignment w:val="center"/>
              <w:rPr>
                <w:rFonts w:ascii="宋体" w:hAnsi="宋体" w:eastAsia="宋体" w:cs="宋体"/>
                <w:b/>
                <w:color w:val="000000"/>
                <w:sz w:val="28"/>
                <w:szCs w:val="28"/>
              </w:rPr>
            </w:pPr>
            <w:r>
              <w:rPr>
                <w:rFonts w:hint="eastAsia" w:ascii="宋体" w:hAnsi="宋体" w:eastAsia="宋体" w:cs="宋体"/>
                <w:b/>
                <w:color w:val="000000"/>
                <w:sz w:val="28"/>
                <w:szCs w:val="28"/>
              </w:rPr>
              <w:t xml:space="preserve">   财政拨款收支总表</w:t>
            </w:r>
          </w:p>
        </w:tc>
        <w:tc>
          <w:tcPr>
            <w:tcW w:w="1882" w:type="dxa"/>
            <w:shd w:val="clear" w:color="auto" w:fill="auto"/>
            <w:vAlign w:val="bottom"/>
          </w:tcPr>
          <w:p>
            <w:pP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5" w:hRule="atLeast"/>
        </w:trPr>
        <w:tc>
          <w:tcPr>
            <w:tcW w:w="1301" w:type="dxa"/>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部门：</w:t>
            </w:r>
          </w:p>
        </w:tc>
        <w:tc>
          <w:tcPr>
            <w:tcW w:w="3294" w:type="dxa"/>
            <w:gridSpan w:val="3"/>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深圳市龙岗区吉华街道办事处</w:t>
            </w:r>
          </w:p>
        </w:tc>
        <w:tc>
          <w:tcPr>
            <w:tcW w:w="850" w:type="dxa"/>
            <w:shd w:val="clear" w:color="auto" w:fill="auto"/>
            <w:vAlign w:val="bottom"/>
          </w:tcPr>
          <w:p>
            <w:pPr>
              <w:rPr>
                <w:rFonts w:ascii="宋体" w:hAnsi="宋体" w:eastAsia="宋体" w:cs="宋体"/>
                <w:color w:val="000000"/>
                <w:sz w:val="20"/>
                <w:szCs w:val="20"/>
              </w:rPr>
            </w:pPr>
          </w:p>
        </w:tc>
        <w:tc>
          <w:tcPr>
            <w:tcW w:w="850" w:type="dxa"/>
            <w:shd w:val="clear" w:color="auto" w:fill="auto"/>
            <w:vAlign w:val="bottom"/>
          </w:tcPr>
          <w:p>
            <w:pPr>
              <w:rPr>
                <w:rFonts w:ascii="宋体" w:hAnsi="宋体" w:eastAsia="宋体" w:cs="宋体"/>
                <w:color w:val="000000"/>
                <w:sz w:val="20"/>
                <w:szCs w:val="20"/>
              </w:rPr>
            </w:pPr>
          </w:p>
        </w:tc>
        <w:tc>
          <w:tcPr>
            <w:tcW w:w="2733" w:type="dxa"/>
            <w:gridSpan w:val="2"/>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单位：万元</w:t>
            </w:r>
          </w:p>
        </w:tc>
      </w:tr>
      <w:tr>
        <w:tblPrEx>
          <w:tblLayout w:type="fixed"/>
          <w:tblCellMar>
            <w:top w:w="15" w:type="dxa"/>
            <w:left w:w="15" w:type="dxa"/>
            <w:bottom w:w="15" w:type="dxa"/>
            <w:right w:w="15" w:type="dxa"/>
          </w:tblCellMar>
        </w:tblPrEx>
        <w:trPr>
          <w:trHeight w:val="285" w:hRule="atLeast"/>
        </w:trPr>
        <w:tc>
          <w:tcPr>
            <w:tcW w:w="3693" w:type="dxa"/>
            <w:gridSpan w:val="3"/>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收      入</w:t>
            </w:r>
          </w:p>
        </w:tc>
        <w:tc>
          <w:tcPr>
            <w:tcW w:w="5335" w:type="dxa"/>
            <w:gridSpan w:val="5"/>
            <w:tcBorders>
              <w:top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支      出</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收  入  项  目</w:t>
            </w:r>
          </w:p>
        </w:tc>
        <w:tc>
          <w:tcPr>
            <w:tcW w:w="1107" w:type="dxa"/>
            <w:tcBorders>
              <w:top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2018年预算</w:t>
            </w:r>
          </w:p>
        </w:tc>
        <w:tc>
          <w:tcPr>
            <w:tcW w:w="3453" w:type="dxa"/>
            <w:gridSpan w:val="4"/>
            <w:tcBorders>
              <w:top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支  出  项  目</w:t>
            </w:r>
          </w:p>
        </w:tc>
        <w:tc>
          <w:tcPr>
            <w:tcW w:w="1882" w:type="dxa"/>
            <w:tcBorders>
              <w:top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2018年预算</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一、本年收入</w:t>
            </w:r>
          </w:p>
        </w:tc>
        <w:tc>
          <w:tcPr>
            <w:tcW w:w="1107"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52,378 </w:t>
            </w: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一、本年支出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52,378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（一）一般公共预算</w:t>
            </w:r>
          </w:p>
        </w:tc>
        <w:tc>
          <w:tcPr>
            <w:tcW w:w="1107"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46,830 </w:t>
            </w: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（一）一般公共服务支出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4,258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（二）政府性基金预算</w:t>
            </w:r>
          </w:p>
        </w:tc>
        <w:tc>
          <w:tcPr>
            <w:tcW w:w="1107"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5,548 </w:t>
            </w: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（二）外交支出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二、上年结转</w:t>
            </w:r>
          </w:p>
        </w:tc>
        <w:tc>
          <w:tcPr>
            <w:tcW w:w="1107"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（三）国防支出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（一）一般公共预算</w:t>
            </w:r>
          </w:p>
        </w:tc>
        <w:tc>
          <w:tcPr>
            <w:tcW w:w="1107"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（四）公共安全支出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2,662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（二）政府性基金</w:t>
            </w:r>
          </w:p>
        </w:tc>
        <w:tc>
          <w:tcPr>
            <w:tcW w:w="1107"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（五）教育支出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（六）科学技术支出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（七）文化体育与传媒支出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590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（八）社会保障与就业支出</w:t>
            </w:r>
          </w:p>
        </w:tc>
        <w:tc>
          <w:tcPr>
            <w:tcW w:w="1882" w:type="dxa"/>
            <w:tcBorders>
              <w:top w:val="single" w:color="000000" w:sz="4" w:space="0"/>
              <w:right w:val="single" w:color="000000" w:sz="4" w:space="0"/>
            </w:tcBorders>
            <w:shd w:val="clear" w:color="auto" w:fill="FFFFFF" w:themeFill="background1"/>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1,596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（九）医疗卫生与计划生育支出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889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（十）节能环保支出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（十一）城乡社区支出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36,534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（十二）农林水支出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909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（十三）交通运输支出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（十四）资源勘探信息等支出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2,723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（十五）商业服务业等支出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（十六）金融支出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0.00</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（十七）援助其他地区支出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0.00</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（十八）国土海洋气象等支出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（十九）住房保障支出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717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（二十）粮油物资储备支出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（二十一）其他支出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（二十二）债务还本支出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（二十三）债务付息支出</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right w:val="single" w:color="000000" w:sz="4" w:space="0"/>
            </w:tcBorders>
            <w:shd w:val="clear" w:color="auto" w:fill="auto"/>
            <w:vAlign w:val="center"/>
          </w:tcPr>
          <w:p>
            <w:pPr>
              <w:jc w:val="left"/>
              <w:rPr>
                <w:rFonts w:ascii="宋体" w:hAnsi="宋体" w:eastAsia="宋体" w:cs="宋体"/>
                <w:color w:val="000000"/>
                <w:sz w:val="20"/>
                <w:szCs w:val="20"/>
              </w:rPr>
            </w:pPr>
          </w:p>
        </w:tc>
        <w:tc>
          <w:tcPr>
            <w:tcW w:w="1107"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p>
        </w:tc>
        <w:tc>
          <w:tcPr>
            <w:tcW w:w="3453" w:type="dxa"/>
            <w:gridSpan w:val="4"/>
            <w:tcBorders>
              <w:top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二、结转下年</w:t>
            </w:r>
          </w:p>
        </w:tc>
        <w:tc>
          <w:tcPr>
            <w:tcW w:w="1882" w:type="dxa"/>
            <w:tcBorders>
              <w:top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0</w:t>
            </w:r>
          </w:p>
        </w:tc>
      </w:tr>
      <w:tr>
        <w:tblPrEx>
          <w:tblLayout w:type="fixed"/>
          <w:tblCellMar>
            <w:top w:w="15" w:type="dxa"/>
            <w:left w:w="15" w:type="dxa"/>
            <w:bottom w:w="15" w:type="dxa"/>
            <w:right w:w="15" w:type="dxa"/>
          </w:tblCellMar>
        </w:tblPrEx>
        <w:trPr>
          <w:trHeight w:val="285" w:hRule="atLeast"/>
        </w:trPr>
        <w:tc>
          <w:tcPr>
            <w:tcW w:w="25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收入总计</w:t>
            </w:r>
          </w:p>
        </w:tc>
        <w:tc>
          <w:tcPr>
            <w:tcW w:w="1107" w:type="dxa"/>
            <w:tcBorders>
              <w:top w:val="single" w:color="000000" w:sz="4" w:space="0"/>
              <w:bottom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52,378</w:t>
            </w:r>
          </w:p>
        </w:tc>
        <w:tc>
          <w:tcPr>
            <w:tcW w:w="3453" w:type="dxa"/>
            <w:gridSpan w:val="4"/>
            <w:tcBorders>
              <w:top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支出总计</w:t>
            </w:r>
          </w:p>
        </w:tc>
        <w:tc>
          <w:tcPr>
            <w:tcW w:w="1882" w:type="dxa"/>
            <w:tcBorders>
              <w:top w:val="single" w:color="000000" w:sz="4" w:space="0"/>
              <w:bottom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52,378</w:t>
            </w:r>
          </w:p>
        </w:tc>
      </w:tr>
    </w:tbl>
    <w:p>
      <w:pPr>
        <w:spacing w:line="240" w:lineRule="atLeast"/>
        <w:rPr>
          <w:sz w:val="21"/>
          <w:szCs w:val="21"/>
        </w:rPr>
      </w:pPr>
    </w:p>
    <w:p>
      <w:pPr>
        <w:spacing w:line="240" w:lineRule="atLeast"/>
        <w:rPr>
          <w:sz w:val="21"/>
          <w:szCs w:val="21"/>
        </w:rPr>
      </w:pPr>
    </w:p>
    <w:p>
      <w:pPr>
        <w:spacing w:line="240" w:lineRule="atLeast"/>
        <w:rPr>
          <w:sz w:val="21"/>
          <w:szCs w:val="21"/>
        </w:rPr>
      </w:pPr>
    </w:p>
    <w:tbl>
      <w:tblPr>
        <w:tblStyle w:val="5"/>
        <w:tblW w:w="9056" w:type="dxa"/>
        <w:tblInd w:w="0" w:type="dxa"/>
        <w:tblLayout w:type="fixed"/>
        <w:tblCellMar>
          <w:top w:w="15" w:type="dxa"/>
          <w:left w:w="15" w:type="dxa"/>
          <w:bottom w:w="15" w:type="dxa"/>
          <w:right w:w="15" w:type="dxa"/>
        </w:tblCellMar>
      </w:tblPr>
      <w:tblGrid>
        <w:gridCol w:w="733"/>
        <w:gridCol w:w="179"/>
        <w:gridCol w:w="271"/>
        <w:gridCol w:w="488"/>
        <w:gridCol w:w="2545"/>
        <w:gridCol w:w="1032"/>
        <w:gridCol w:w="480"/>
        <w:gridCol w:w="117"/>
        <w:gridCol w:w="1413"/>
        <w:gridCol w:w="1168"/>
        <w:gridCol w:w="630"/>
      </w:tblGrid>
      <w:tr>
        <w:tblPrEx>
          <w:tblLayout w:type="fixed"/>
          <w:tblCellMar>
            <w:top w:w="15" w:type="dxa"/>
            <w:left w:w="15" w:type="dxa"/>
            <w:bottom w:w="15" w:type="dxa"/>
            <w:right w:w="15" w:type="dxa"/>
          </w:tblCellMar>
        </w:tblPrEx>
        <w:trPr>
          <w:trHeight w:val="286" w:hRule="atLeast"/>
        </w:trPr>
        <w:tc>
          <w:tcPr>
            <w:tcW w:w="912" w:type="dxa"/>
            <w:gridSpan w:val="2"/>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表五</w:t>
            </w:r>
          </w:p>
        </w:tc>
        <w:tc>
          <w:tcPr>
            <w:tcW w:w="759" w:type="dxa"/>
            <w:gridSpan w:val="2"/>
            <w:shd w:val="clear" w:color="auto" w:fill="auto"/>
            <w:vAlign w:val="bottom"/>
          </w:tcPr>
          <w:p>
            <w:pPr>
              <w:rPr>
                <w:rFonts w:ascii="宋体" w:hAnsi="宋体" w:eastAsia="宋体" w:cs="宋体"/>
                <w:color w:val="000000"/>
                <w:sz w:val="20"/>
                <w:szCs w:val="20"/>
              </w:rPr>
            </w:pPr>
          </w:p>
        </w:tc>
        <w:tc>
          <w:tcPr>
            <w:tcW w:w="2545" w:type="dxa"/>
            <w:shd w:val="clear" w:color="auto" w:fill="auto"/>
            <w:vAlign w:val="bottom"/>
          </w:tcPr>
          <w:p>
            <w:pPr>
              <w:rPr>
                <w:rFonts w:ascii="宋体" w:hAnsi="宋体" w:eastAsia="宋体" w:cs="宋体"/>
                <w:color w:val="000000"/>
                <w:sz w:val="20"/>
                <w:szCs w:val="20"/>
              </w:rPr>
            </w:pPr>
          </w:p>
        </w:tc>
        <w:tc>
          <w:tcPr>
            <w:tcW w:w="1032" w:type="dxa"/>
            <w:shd w:val="clear" w:color="auto" w:fill="auto"/>
            <w:vAlign w:val="bottom"/>
          </w:tcPr>
          <w:p>
            <w:pPr>
              <w:rPr>
                <w:rFonts w:ascii="宋体" w:hAnsi="宋体" w:eastAsia="宋体" w:cs="宋体"/>
                <w:color w:val="000000"/>
                <w:sz w:val="20"/>
                <w:szCs w:val="20"/>
              </w:rPr>
            </w:pPr>
          </w:p>
        </w:tc>
        <w:tc>
          <w:tcPr>
            <w:tcW w:w="597" w:type="dxa"/>
            <w:gridSpan w:val="2"/>
            <w:shd w:val="clear" w:color="auto" w:fill="auto"/>
            <w:vAlign w:val="bottom"/>
          </w:tcPr>
          <w:p>
            <w:pPr>
              <w:rPr>
                <w:rFonts w:ascii="宋体" w:hAnsi="宋体" w:eastAsia="宋体" w:cs="宋体"/>
                <w:color w:val="000000"/>
                <w:sz w:val="20"/>
                <w:szCs w:val="20"/>
              </w:rPr>
            </w:pPr>
          </w:p>
        </w:tc>
        <w:tc>
          <w:tcPr>
            <w:tcW w:w="2581" w:type="dxa"/>
            <w:gridSpan w:val="2"/>
            <w:shd w:val="clear" w:color="auto" w:fill="auto"/>
            <w:vAlign w:val="bottom"/>
          </w:tcPr>
          <w:p>
            <w:pPr>
              <w:rPr>
                <w:rFonts w:ascii="宋体" w:hAnsi="宋体" w:eastAsia="宋体" w:cs="宋体"/>
                <w:color w:val="000000"/>
                <w:sz w:val="20"/>
                <w:szCs w:val="20"/>
              </w:rPr>
            </w:pPr>
          </w:p>
        </w:tc>
        <w:tc>
          <w:tcPr>
            <w:tcW w:w="630" w:type="dxa"/>
            <w:shd w:val="clear" w:color="auto" w:fill="auto"/>
            <w:vAlign w:val="bottom"/>
          </w:tcPr>
          <w:p>
            <w:pP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364" w:hRule="atLeast"/>
        </w:trPr>
        <w:tc>
          <w:tcPr>
            <w:tcW w:w="733" w:type="dxa"/>
            <w:shd w:val="clear" w:color="auto" w:fill="auto"/>
            <w:vAlign w:val="bottom"/>
          </w:tcPr>
          <w:p>
            <w:pPr>
              <w:rPr>
                <w:rFonts w:ascii="宋体" w:hAnsi="宋体" w:eastAsia="宋体" w:cs="宋体"/>
                <w:color w:val="000000"/>
                <w:sz w:val="20"/>
                <w:szCs w:val="20"/>
              </w:rPr>
            </w:pPr>
          </w:p>
        </w:tc>
        <w:tc>
          <w:tcPr>
            <w:tcW w:w="179" w:type="dxa"/>
            <w:shd w:val="clear" w:color="auto" w:fill="auto"/>
            <w:vAlign w:val="bottom"/>
          </w:tcPr>
          <w:p>
            <w:pPr>
              <w:rPr>
                <w:rFonts w:ascii="宋体" w:hAnsi="宋体" w:eastAsia="宋体" w:cs="宋体"/>
                <w:color w:val="000000"/>
                <w:sz w:val="20"/>
                <w:szCs w:val="20"/>
              </w:rPr>
            </w:pPr>
          </w:p>
        </w:tc>
        <w:tc>
          <w:tcPr>
            <w:tcW w:w="759" w:type="dxa"/>
            <w:gridSpan w:val="2"/>
            <w:shd w:val="clear" w:color="auto" w:fill="auto"/>
            <w:vAlign w:val="bottom"/>
          </w:tcPr>
          <w:p>
            <w:pPr>
              <w:rPr>
                <w:rFonts w:ascii="宋体" w:hAnsi="宋体" w:eastAsia="宋体" w:cs="宋体"/>
                <w:color w:val="000000"/>
                <w:sz w:val="20"/>
                <w:szCs w:val="20"/>
              </w:rPr>
            </w:pPr>
          </w:p>
        </w:tc>
        <w:tc>
          <w:tcPr>
            <w:tcW w:w="6755" w:type="dxa"/>
            <w:gridSpan w:val="6"/>
            <w:shd w:val="clear" w:color="auto" w:fill="auto"/>
            <w:vAlign w:val="center"/>
          </w:tcPr>
          <w:p>
            <w:pPr>
              <w:widowControl/>
              <w:jc w:val="center"/>
              <w:textAlignment w:val="center"/>
              <w:rPr>
                <w:rFonts w:ascii="宋体" w:hAnsi="宋体" w:eastAsia="宋体" w:cs="宋体"/>
                <w:b/>
                <w:color w:val="000000"/>
                <w:sz w:val="28"/>
                <w:szCs w:val="28"/>
              </w:rPr>
            </w:pPr>
            <w:r>
              <w:rPr>
                <w:rFonts w:hint="eastAsia" w:ascii="宋体" w:hAnsi="宋体" w:eastAsia="宋体" w:cs="宋体"/>
                <w:b/>
                <w:color w:val="000000"/>
                <w:sz w:val="28"/>
                <w:szCs w:val="28"/>
              </w:rPr>
              <w:t>一般公共预算支出表</w:t>
            </w:r>
          </w:p>
        </w:tc>
        <w:tc>
          <w:tcPr>
            <w:tcW w:w="630" w:type="dxa"/>
            <w:shd w:val="clear" w:color="auto" w:fill="auto"/>
            <w:vAlign w:val="bottom"/>
          </w:tcPr>
          <w:p>
            <w:pP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5" w:hRule="atLeast"/>
        </w:trPr>
        <w:tc>
          <w:tcPr>
            <w:tcW w:w="733" w:type="dxa"/>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部门：</w:t>
            </w:r>
          </w:p>
        </w:tc>
        <w:tc>
          <w:tcPr>
            <w:tcW w:w="5112" w:type="dxa"/>
            <w:gridSpan w:val="7"/>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深圳市龙岗区吉华街道办事处</w:t>
            </w:r>
          </w:p>
        </w:tc>
        <w:tc>
          <w:tcPr>
            <w:tcW w:w="3211" w:type="dxa"/>
            <w:gridSpan w:val="3"/>
            <w:shd w:val="clear" w:color="auto" w:fill="auto"/>
            <w:vAlign w:val="bottom"/>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单位：万元</w:t>
            </w:r>
          </w:p>
        </w:tc>
      </w:tr>
      <w:tr>
        <w:tblPrEx>
          <w:tblLayout w:type="fixed"/>
          <w:tblCellMar>
            <w:top w:w="15" w:type="dxa"/>
            <w:left w:w="15" w:type="dxa"/>
            <w:bottom w:w="15" w:type="dxa"/>
            <w:right w:w="15" w:type="dxa"/>
          </w:tblCellMar>
        </w:tblPrEx>
        <w:trPr>
          <w:trHeight w:val="285" w:hRule="atLeast"/>
        </w:trPr>
        <w:tc>
          <w:tcPr>
            <w:tcW w:w="421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功能分类科目</w:t>
            </w:r>
          </w:p>
        </w:tc>
        <w:tc>
          <w:tcPr>
            <w:tcW w:w="484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2017年一般公共预算支出数</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科目编码</w:t>
            </w:r>
          </w:p>
        </w:tc>
        <w:tc>
          <w:tcPr>
            <w:tcW w:w="3033"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科目名称</w:t>
            </w:r>
          </w:p>
        </w:tc>
        <w:tc>
          <w:tcPr>
            <w:tcW w:w="1512"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合计</w:t>
            </w:r>
          </w:p>
        </w:tc>
        <w:tc>
          <w:tcPr>
            <w:tcW w:w="1530"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基本支出</w:t>
            </w:r>
          </w:p>
        </w:tc>
        <w:tc>
          <w:tcPr>
            <w:tcW w:w="1798"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项目支出</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bottom"/>
          </w:tcPr>
          <w:p>
            <w:pPr>
              <w:rPr>
                <w:rFonts w:ascii="宋体" w:hAnsi="宋体" w:eastAsia="宋体" w:cs="宋体"/>
                <w:color w:val="000000"/>
                <w:sz w:val="20"/>
                <w:szCs w:val="20"/>
              </w:rPr>
            </w:pP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合计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46,830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16,771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30,059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一般公共服务支出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4,258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179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4,079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人大事务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2010199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其他人大事务支出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20105</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统计信息事务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2010599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其他统计信息事务支出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20106</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95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2010699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其他财政事务支出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95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纪检监察事务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2011199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其他纪检监察事务支出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20113</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商贸事务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164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164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2011399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其他商贸事务支出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164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164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20129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群众团体事务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2012999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其他群众团体事务支出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20132</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组织事务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2013299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其他组织事务支出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20133</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宣传事务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364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364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2013399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其他宣传事务支出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364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364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20134</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统战事务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2013499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其他统战事务支出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20136</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其他共产党事务支出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572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76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496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2013602</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一般行政管理事务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2013699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其他共产党事务支出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547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76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471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其他一般公共服务支出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2,252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103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2,150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2019999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其他一般公共服务支出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2,252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103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2,150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公共安全支出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2,662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2,662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20406</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司法</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206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2040604</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基层司法业务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206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其他公共安全支出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2,456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2,456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2049901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其他公共安全支出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699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699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2049902</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其他消防</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1,757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1,757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207</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文化体育与传媒支出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590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415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20799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其他文化体育与传媒支出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590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415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2079999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其他文化体育与传媒支出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590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415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社会保障与就业支出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476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1,120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人力资源</w:t>
            </w:r>
            <w:r>
              <w:rPr>
                <w:rFonts w:hint="eastAsia" w:ascii="宋体" w:hAnsi="宋体" w:eastAsia="宋体" w:cs="宋体"/>
                <w:color w:val="000000"/>
                <w:sz w:val="20"/>
                <w:szCs w:val="20"/>
                <w:lang w:eastAsia="zh-CN"/>
              </w:rPr>
              <w:t>和</w:t>
            </w:r>
            <w:r>
              <w:rPr>
                <w:rFonts w:hint="eastAsia" w:ascii="宋体" w:hAnsi="宋体" w:eastAsia="宋体" w:cs="宋体"/>
                <w:color w:val="000000"/>
                <w:sz w:val="20"/>
                <w:szCs w:val="20"/>
              </w:rPr>
              <w:t>社会保障管理事务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191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191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2080105</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劳动保障监察</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153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153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2080106</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就业管理事务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20802</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民政管理事务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2080299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其他民政管理事务支出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行政事业单位离退休</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525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476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49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2080502</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事业单位离退休</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44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44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2080503</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离退休人员管理机构</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49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49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2080505</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机关事业单位基本养老保险缴费支出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252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252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2080506</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机关事业单位职业年金缴费支出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退役安置</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192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192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2080999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其他退役安置支出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192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192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20810</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社会福利</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2081099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其他社会福利支出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159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残疾人事业</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394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394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2081199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其他残疾人事业支出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394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394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最低生活保障</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2081901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城市最低生活保障金支出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医疗卫生与计划生育支出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889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365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524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21007</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计划生育事务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189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189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2100799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其他计划生育事务支出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189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189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21010</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食品和药品监督管理事务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539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204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335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2101099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其他食品和药品监督管理事务支出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539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204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335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行政事业单位医疗</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161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161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2101101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行政单位医疗</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85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85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2101102</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事业单位医疗</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76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30,986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14,748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16,238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城乡社区管理事务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3,708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1,006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2,702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2120102</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一般行政管理事务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231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231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2120104</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城管执法</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3,345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1,006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2,339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2120106</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工程建设管理</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132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132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21203</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城乡社区公共设施</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2,961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2,961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2120303</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小城镇基础设施建设</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2,500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2,500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2120399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其他城乡社区公共设施支出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461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461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21205</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城乡社区环境卫生</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8,093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218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7,875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2120501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城乡社区环境卫生</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8,093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218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7,875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国有土地使用权出让收入及对应专项债务收入安排的支出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征地和拆迁补偿支出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2120803</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城市建设支出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其他城乡社区支出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16,224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13,524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2,700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2129999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其他城乡社区支出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16,224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13,524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2,700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农林水支出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909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111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797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农业</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352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352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2130199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其他农业支出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352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352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21302</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林业</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166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2130299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其他林业支出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166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166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21303</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水利</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280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280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2130306</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水利工程运行与维护</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2130314</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防汛</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105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105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其他农林水支出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111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111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2139999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其他农林水支出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111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111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资源勘探信息等支出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2,723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2,723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21506</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安全生产监管</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2,723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2,723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2150605</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安全监管监察专项</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1,000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1,000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2150699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其他安全生产监管支出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1,723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1,723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住房保障支出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717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717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22102</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住房改革支出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717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717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2210201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住房公积金</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2210203</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购房补贴</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327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327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22999</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r>
      <w:tr>
        <w:tblPrEx>
          <w:tblLayout w:type="fixed"/>
          <w:tblCellMar>
            <w:top w:w="15" w:type="dxa"/>
            <w:left w:w="15" w:type="dxa"/>
            <w:bottom w:w="15" w:type="dxa"/>
            <w:right w:w="15" w:type="dxa"/>
          </w:tblCellMar>
        </w:tblPrEx>
        <w:trPr>
          <w:trHeight w:val="285" w:hRule="atLeast"/>
        </w:trPr>
        <w:tc>
          <w:tcPr>
            <w:tcW w:w="11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2299901</w:t>
            </w:r>
          </w:p>
        </w:tc>
        <w:tc>
          <w:tcPr>
            <w:tcW w:w="30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151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c>
          <w:tcPr>
            <w:tcW w:w="153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7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r>
    </w:tbl>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p>
      <w:pPr>
        <w:spacing w:line="240" w:lineRule="atLeast"/>
        <w:rPr>
          <w:sz w:val="21"/>
          <w:szCs w:val="21"/>
        </w:rPr>
      </w:pPr>
    </w:p>
    <w:tbl>
      <w:tblPr>
        <w:tblStyle w:val="5"/>
        <w:tblW w:w="9295" w:type="dxa"/>
        <w:tblInd w:w="0" w:type="dxa"/>
        <w:tblLayout w:type="fixed"/>
        <w:tblCellMar>
          <w:top w:w="15" w:type="dxa"/>
          <w:left w:w="15" w:type="dxa"/>
          <w:bottom w:w="15" w:type="dxa"/>
          <w:right w:w="15" w:type="dxa"/>
        </w:tblCellMar>
      </w:tblPr>
      <w:tblGrid>
        <w:gridCol w:w="673"/>
        <w:gridCol w:w="172"/>
        <w:gridCol w:w="2138"/>
        <w:gridCol w:w="1050"/>
        <w:gridCol w:w="701"/>
        <w:gridCol w:w="184"/>
        <w:gridCol w:w="729"/>
        <w:gridCol w:w="276"/>
        <w:gridCol w:w="637"/>
        <w:gridCol w:w="563"/>
        <w:gridCol w:w="1185"/>
        <w:gridCol w:w="987"/>
      </w:tblGrid>
      <w:tr>
        <w:tblPrEx>
          <w:tblLayout w:type="fixed"/>
          <w:tblCellMar>
            <w:top w:w="15" w:type="dxa"/>
            <w:left w:w="15" w:type="dxa"/>
            <w:bottom w:w="15" w:type="dxa"/>
            <w:right w:w="15" w:type="dxa"/>
          </w:tblCellMar>
        </w:tblPrEx>
        <w:trPr>
          <w:trHeight w:val="286" w:hRule="atLeast"/>
        </w:trPr>
        <w:tc>
          <w:tcPr>
            <w:tcW w:w="845" w:type="dxa"/>
            <w:gridSpan w:val="2"/>
            <w:shd w:val="clear" w:color="auto" w:fill="auto"/>
            <w:vAlign w:val="center"/>
          </w:tcPr>
          <w:p>
            <w:pPr>
              <w:widowControl/>
              <w:spacing w:line="18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表六</w:t>
            </w:r>
          </w:p>
        </w:tc>
        <w:tc>
          <w:tcPr>
            <w:tcW w:w="7463" w:type="dxa"/>
            <w:gridSpan w:val="9"/>
            <w:shd w:val="clear" w:color="auto" w:fill="auto"/>
            <w:vAlign w:val="center"/>
          </w:tcPr>
          <w:p>
            <w:pPr>
              <w:widowControl/>
              <w:spacing w:line="180" w:lineRule="atLeast"/>
              <w:jc w:val="center"/>
              <w:textAlignment w:val="center"/>
              <w:rPr>
                <w:rFonts w:ascii="宋体" w:hAnsi="宋体" w:eastAsia="宋体" w:cs="宋体"/>
                <w:b/>
                <w:color w:val="000000"/>
                <w:sz w:val="28"/>
                <w:szCs w:val="28"/>
              </w:rPr>
            </w:pPr>
            <w:r>
              <w:rPr>
                <w:rFonts w:hint="eastAsia" w:ascii="宋体" w:hAnsi="宋体" w:eastAsia="宋体" w:cs="宋体"/>
                <w:b/>
                <w:color w:val="000000"/>
                <w:sz w:val="24"/>
                <w:szCs w:val="24"/>
              </w:rPr>
              <w:t>一般公共预算支出表（按经济科目）</w:t>
            </w:r>
          </w:p>
        </w:tc>
        <w:tc>
          <w:tcPr>
            <w:tcW w:w="987" w:type="dxa"/>
            <w:shd w:val="clear" w:color="auto" w:fill="auto"/>
            <w:vAlign w:val="bottom"/>
          </w:tcPr>
          <w:p>
            <w:pPr>
              <w:spacing w:line="180" w:lineRule="atLeast"/>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5" w:hRule="atLeast"/>
        </w:trPr>
        <w:tc>
          <w:tcPr>
            <w:tcW w:w="4033" w:type="dxa"/>
            <w:gridSpan w:val="4"/>
            <w:shd w:val="clear" w:color="auto" w:fill="auto"/>
            <w:vAlign w:val="center"/>
          </w:tcPr>
          <w:p>
            <w:pPr>
              <w:widowControl/>
              <w:spacing w:line="180" w:lineRule="atLeast"/>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部门：深圳市龙岗区吉华街道办事处</w:t>
            </w:r>
          </w:p>
        </w:tc>
        <w:tc>
          <w:tcPr>
            <w:tcW w:w="701" w:type="dxa"/>
            <w:shd w:val="clear" w:color="auto" w:fill="auto"/>
            <w:vAlign w:val="bottom"/>
          </w:tcPr>
          <w:p>
            <w:pPr>
              <w:spacing w:line="180" w:lineRule="atLeast"/>
              <w:rPr>
                <w:rFonts w:ascii="宋体" w:hAnsi="宋体" w:eastAsia="宋体" w:cs="宋体"/>
                <w:color w:val="000000"/>
                <w:sz w:val="20"/>
                <w:szCs w:val="20"/>
              </w:rPr>
            </w:pPr>
          </w:p>
        </w:tc>
        <w:tc>
          <w:tcPr>
            <w:tcW w:w="913" w:type="dxa"/>
            <w:gridSpan w:val="2"/>
            <w:shd w:val="clear" w:color="auto" w:fill="auto"/>
            <w:vAlign w:val="bottom"/>
          </w:tcPr>
          <w:p>
            <w:pPr>
              <w:spacing w:line="180" w:lineRule="atLeast"/>
              <w:rPr>
                <w:rFonts w:ascii="宋体" w:hAnsi="宋体" w:eastAsia="宋体" w:cs="宋体"/>
                <w:color w:val="000000"/>
                <w:sz w:val="20"/>
                <w:szCs w:val="20"/>
              </w:rPr>
            </w:pPr>
          </w:p>
        </w:tc>
        <w:tc>
          <w:tcPr>
            <w:tcW w:w="913" w:type="dxa"/>
            <w:gridSpan w:val="2"/>
            <w:shd w:val="clear" w:color="auto" w:fill="auto"/>
            <w:vAlign w:val="bottom"/>
          </w:tcPr>
          <w:p>
            <w:pPr>
              <w:spacing w:line="180" w:lineRule="atLeast"/>
              <w:rPr>
                <w:rFonts w:ascii="宋体" w:hAnsi="宋体" w:eastAsia="宋体" w:cs="宋体"/>
                <w:color w:val="000000"/>
                <w:sz w:val="20"/>
                <w:szCs w:val="20"/>
              </w:rPr>
            </w:pPr>
          </w:p>
        </w:tc>
        <w:tc>
          <w:tcPr>
            <w:tcW w:w="1748" w:type="dxa"/>
            <w:gridSpan w:val="2"/>
            <w:shd w:val="clear" w:color="auto" w:fill="auto"/>
            <w:vAlign w:val="bottom"/>
          </w:tcPr>
          <w:p>
            <w:pPr>
              <w:spacing w:line="180" w:lineRule="atLeast"/>
              <w:rPr>
                <w:rFonts w:ascii="宋体" w:hAnsi="宋体" w:eastAsia="宋体" w:cs="宋体"/>
                <w:color w:val="000000"/>
                <w:sz w:val="20"/>
                <w:szCs w:val="20"/>
              </w:rPr>
            </w:pPr>
          </w:p>
        </w:tc>
        <w:tc>
          <w:tcPr>
            <w:tcW w:w="987" w:type="dxa"/>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单位：万元</w:t>
            </w:r>
          </w:p>
        </w:tc>
      </w:tr>
      <w:tr>
        <w:tblPrEx>
          <w:tblLayout w:type="fixed"/>
          <w:tblCellMar>
            <w:top w:w="15" w:type="dxa"/>
            <w:left w:w="15" w:type="dxa"/>
            <w:bottom w:w="15" w:type="dxa"/>
            <w:right w:w="15" w:type="dxa"/>
          </w:tblCellMar>
        </w:tblPrEx>
        <w:trPr>
          <w:trHeight w:val="285" w:hRule="atLeast"/>
        </w:trPr>
        <w:tc>
          <w:tcPr>
            <w:tcW w:w="298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经济分类科目</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总计</w:t>
            </w:r>
          </w:p>
        </w:tc>
        <w:tc>
          <w:tcPr>
            <w:tcW w:w="427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2018年一般公共预算基本支出</w:t>
            </w:r>
          </w:p>
        </w:tc>
        <w:tc>
          <w:tcPr>
            <w:tcW w:w="98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2018年一般公共预算项目支出</w:t>
            </w:r>
          </w:p>
        </w:tc>
      </w:tr>
      <w:tr>
        <w:tblPrEx>
          <w:tblLayout w:type="fixed"/>
          <w:tblCellMar>
            <w:top w:w="15" w:type="dxa"/>
            <w:left w:w="15" w:type="dxa"/>
            <w:bottom w:w="15" w:type="dxa"/>
            <w:right w:w="15" w:type="dxa"/>
          </w:tblCellMar>
        </w:tblPrEx>
        <w:trPr>
          <w:trHeight w:val="285" w:hRule="atLeast"/>
        </w:trPr>
        <w:tc>
          <w:tcPr>
            <w:tcW w:w="673"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科目编码</w:t>
            </w:r>
          </w:p>
        </w:tc>
        <w:tc>
          <w:tcPr>
            <w:tcW w:w="2310"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科目名称</w:t>
            </w:r>
          </w:p>
        </w:tc>
        <w:tc>
          <w:tcPr>
            <w:tcW w:w="1050"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spacing w:line="180" w:lineRule="atLeast"/>
              <w:jc w:val="center"/>
              <w:rPr>
                <w:rFonts w:ascii="宋体" w:hAnsi="宋体" w:eastAsia="宋体" w:cs="宋体"/>
                <w:color w:val="000000"/>
                <w:sz w:val="20"/>
                <w:szCs w:val="20"/>
              </w:rPr>
            </w:pPr>
          </w:p>
        </w:tc>
        <w:tc>
          <w:tcPr>
            <w:tcW w:w="885"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合计</w:t>
            </w:r>
          </w:p>
        </w:tc>
        <w:tc>
          <w:tcPr>
            <w:tcW w:w="1005"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工资福利支出</w:t>
            </w:r>
          </w:p>
        </w:tc>
        <w:tc>
          <w:tcPr>
            <w:tcW w:w="1200"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商品和服务支出</w:t>
            </w:r>
          </w:p>
        </w:tc>
        <w:tc>
          <w:tcPr>
            <w:tcW w:w="118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180" w:lineRule="atLeast"/>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对个人和家庭补助支出</w:t>
            </w:r>
          </w:p>
        </w:tc>
        <w:tc>
          <w:tcPr>
            <w:tcW w:w="987"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spacing w:line="180" w:lineRule="atLeast"/>
              <w:jc w:val="cente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bottom"/>
          </w:tcPr>
          <w:p>
            <w:pPr>
              <w:rPr>
                <w:rFonts w:ascii="宋体" w:hAnsi="宋体" w:eastAsia="宋体" w:cs="宋体"/>
                <w:color w:val="000000"/>
                <w:sz w:val="20"/>
                <w:szCs w:val="20"/>
              </w:rPr>
            </w:pP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合计</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46,830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16,771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6,486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10,163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122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30,059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工资福利支出</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6,486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6,486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6,486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30101</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基本工资</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30102</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津贴补贴</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1,917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1,917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1,917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30103</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奖金</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1,504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1,504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1,504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30107</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绩效工资</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265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265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265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30108</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机关事业单位基本养老保险缴费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252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252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252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30109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职业年金缴费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180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30110</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城镇职工基本医疗保险缴费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128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128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128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30112</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其他社会保障缴费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33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33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33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30113</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住房公积金</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390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30199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其他工资福利支出</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1,297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1,297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1,297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商品和服务支出</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33,280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10,163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10,163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23,118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30201</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办公费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2,225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307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307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1,918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30205</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水费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30206</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电费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461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296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296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166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30209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物业管理费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265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265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265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30212</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因公出国（境）费用</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30213</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维修（护）费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525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525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30214</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租赁费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1,619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1,619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1,619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85"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30215</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会议费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20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30216</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培训费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381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366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30217</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公务接待费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10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30226</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劳务费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11,597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6,133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6,133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5,463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30227</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委托业务费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9,708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9,708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30228</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工会经费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44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44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44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30229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福利费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30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30231</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公务用车运行维护费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30239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其他交通费用</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47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47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47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30299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其他商品和服务支出</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6,057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1,120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1,120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4,937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303</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对个人和家庭的补助支出</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1,228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122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122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1,105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30302</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退休费</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44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44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44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30309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奖励金</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78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78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78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30399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其他对个人和家庭的补助支出</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1,105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1,105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资本性支出（基本建设）</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1,757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1,757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30905</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基础设施建设</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1,757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1,757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310</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资本性支出</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2,579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2,579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31002</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办公设备购置</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79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79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31005</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基础设施建设</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2,500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2,500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399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1,500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b/>
                <w:color w:val="000000"/>
                <w:sz w:val="20"/>
                <w:szCs w:val="20"/>
              </w:rPr>
              <w:t xml:space="preserve">1,500 </w:t>
            </w:r>
          </w:p>
        </w:tc>
      </w:tr>
      <w:tr>
        <w:tblPrEx>
          <w:tblLayout w:type="fixed"/>
          <w:tblCellMar>
            <w:top w:w="15" w:type="dxa"/>
            <w:left w:w="15" w:type="dxa"/>
            <w:bottom w:w="15" w:type="dxa"/>
            <w:right w:w="15" w:type="dxa"/>
          </w:tblCellMar>
        </w:tblPrEx>
        <w:trPr>
          <w:trHeight w:val="260" w:hRule="atLeast"/>
        </w:trPr>
        <w:tc>
          <w:tcPr>
            <w:tcW w:w="67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39999</w:t>
            </w:r>
          </w:p>
        </w:tc>
        <w:tc>
          <w:tcPr>
            <w:tcW w:w="23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其他支出</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c>
          <w:tcPr>
            <w:tcW w:w="8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0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2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0 </w:t>
            </w:r>
          </w:p>
        </w:tc>
        <w:tc>
          <w:tcPr>
            <w:tcW w:w="98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 xml:space="preserve">1,500 </w:t>
            </w:r>
          </w:p>
        </w:tc>
      </w:tr>
    </w:tbl>
    <w:p>
      <w:pPr>
        <w:spacing w:line="180" w:lineRule="atLeast"/>
        <w:rPr>
          <w:sz w:val="21"/>
          <w:szCs w:val="21"/>
        </w:rPr>
      </w:pPr>
    </w:p>
    <w:p>
      <w:pPr>
        <w:spacing w:line="180" w:lineRule="atLeast"/>
        <w:rPr>
          <w:sz w:val="21"/>
          <w:szCs w:val="21"/>
        </w:rPr>
      </w:pPr>
    </w:p>
    <w:p>
      <w:pPr>
        <w:spacing w:line="180" w:lineRule="atLeast"/>
        <w:rPr>
          <w:sz w:val="21"/>
          <w:szCs w:val="21"/>
        </w:rPr>
      </w:pPr>
    </w:p>
    <w:tbl>
      <w:tblPr>
        <w:tblStyle w:val="5"/>
        <w:tblW w:w="9402" w:type="dxa"/>
        <w:tblInd w:w="0" w:type="dxa"/>
        <w:tblLayout w:type="fixed"/>
        <w:tblCellMar>
          <w:top w:w="15" w:type="dxa"/>
          <w:left w:w="15" w:type="dxa"/>
          <w:bottom w:w="15" w:type="dxa"/>
          <w:right w:w="15" w:type="dxa"/>
        </w:tblCellMar>
      </w:tblPr>
      <w:tblGrid>
        <w:gridCol w:w="952"/>
        <w:gridCol w:w="246"/>
        <w:gridCol w:w="701"/>
        <w:gridCol w:w="1955"/>
        <w:gridCol w:w="1541"/>
        <w:gridCol w:w="273"/>
        <w:gridCol w:w="1682"/>
        <w:gridCol w:w="2052"/>
      </w:tblGrid>
      <w:tr>
        <w:tblPrEx>
          <w:tblLayout w:type="fixed"/>
          <w:tblCellMar>
            <w:top w:w="15" w:type="dxa"/>
            <w:left w:w="15" w:type="dxa"/>
            <w:bottom w:w="15" w:type="dxa"/>
            <w:right w:w="15" w:type="dxa"/>
          </w:tblCellMar>
        </w:tblPrEx>
        <w:trPr>
          <w:trHeight w:val="286" w:hRule="atLeast"/>
        </w:trPr>
        <w:tc>
          <w:tcPr>
            <w:tcW w:w="1899" w:type="dxa"/>
            <w:gridSpan w:val="3"/>
            <w:vMerge w:val="restart"/>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表七</w:t>
            </w:r>
          </w:p>
        </w:tc>
        <w:tc>
          <w:tcPr>
            <w:tcW w:w="1955" w:type="dxa"/>
            <w:shd w:val="clear" w:color="auto" w:fill="auto"/>
            <w:vAlign w:val="bottom"/>
          </w:tcPr>
          <w:p>
            <w:pPr>
              <w:rPr>
                <w:rFonts w:ascii="宋体" w:hAnsi="宋体" w:eastAsia="宋体" w:cs="宋体"/>
                <w:color w:val="000000"/>
                <w:sz w:val="20"/>
                <w:szCs w:val="20"/>
              </w:rPr>
            </w:pPr>
          </w:p>
        </w:tc>
        <w:tc>
          <w:tcPr>
            <w:tcW w:w="1541" w:type="dxa"/>
            <w:shd w:val="clear" w:color="auto" w:fill="auto"/>
            <w:vAlign w:val="bottom"/>
          </w:tcPr>
          <w:p>
            <w:pPr>
              <w:rPr>
                <w:rFonts w:ascii="宋体" w:hAnsi="宋体" w:eastAsia="宋体" w:cs="宋体"/>
                <w:color w:val="000000"/>
                <w:sz w:val="20"/>
                <w:szCs w:val="20"/>
              </w:rPr>
            </w:pPr>
          </w:p>
        </w:tc>
        <w:tc>
          <w:tcPr>
            <w:tcW w:w="1955" w:type="dxa"/>
            <w:gridSpan w:val="2"/>
            <w:shd w:val="clear" w:color="auto" w:fill="auto"/>
            <w:vAlign w:val="bottom"/>
          </w:tcPr>
          <w:p>
            <w:pPr>
              <w:rPr>
                <w:rFonts w:ascii="宋体" w:hAnsi="宋体" w:eastAsia="宋体" w:cs="宋体"/>
                <w:color w:val="000000"/>
                <w:sz w:val="20"/>
                <w:szCs w:val="20"/>
              </w:rPr>
            </w:pPr>
          </w:p>
        </w:tc>
        <w:tc>
          <w:tcPr>
            <w:tcW w:w="2052" w:type="dxa"/>
            <w:shd w:val="clear" w:color="auto" w:fill="auto"/>
            <w:vAlign w:val="bottom"/>
          </w:tcPr>
          <w:p>
            <w:pP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6" w:hRule="atLeast"/>
        </w:trPr>
        <w:tc>
          <w:tcPr>
            <w:tcW w:w="1899" w:type="dxa"/>
            <w:gridSpan w:val="3"/>
            <w:vMerge w:val="continue"/>
            <w:shd w:val="clear" w:color="auto" w:fill="auto"/>
            <w:vAlign w:val="center"/>
          </w:tcPr>
          <w:p>
            <w:pPr>
              <w:jc w:val="left"/>
              <w:rPr>
                <w:rFonts w:ascii="宋体" w:hAnsi="宋体" w:eastAsia="宋体" w:cs="宋体"/>
                <w:color w:val="000000"/>
                <w:sz w:val="20"/>
                <w:szCs w:val="20"/>
              </w:rPr>
            </w:pPr>
          </w:p>
        </w:tc>
        <w:tc>
          <w:tcPr>
            <w:tcW w:w="5451" w:type="dxa"/>
            <w:gridSpan w:val="4"/>
            <w:vMerge w:val="restart"/>
            <w:shd w:val="clear" w:color="auto" w:fill="auto"/>
            <w:vAlign w:val="center"/>
          </w:tcPr>
          <w:p>
            <w:pPr>
              <w:widowControl/>
              <w:jc w:val="center"/>
              <w:textAlignment w:val="center"/>
              <w:rPr>
                <w:rFonts w:ascii="宋体" w:hAnsi="宋体" w:eastAsia="宋体" w:cs="宋体"/>
                <w:b/>
                <w:color w:val="000000"/>
                <w:sz w:val="28"/>
                <w:szCs w:val="28"/>
              </w:rPr>
            </w:pPr>
            <w:r>
              <w:rPr>
                <w:rFonts w:hint="eastAsia" w:ascii="宋体" w:hAnsi="宋体" w:eastAsia="宋体" w:cs="宋体"/>
                <w:b/>
                <w:color w:val="000000"/>
                <w:sz w:val="28"/>
                <w:szCs w:val="28"/>
              </w:rPr>
              <w:t>政府性基金预算支出表</w:t>
            </w:r>
          </w:p>
        </w:tc>
        <w:tc>
          <w:tcPr>
            <w:tcW w:w="2052" w:type="dxa"/>
            <w:shd w:val="clear" w:color="auto" w:fill="auto"/>
            <w:vAlign w:val="bottom"/>
          </w:tcPr>
          <w:p>
            <w:pP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360" w:hRule="atLeast"/>
        </w:trPr>
        <w:tc>
          <w:tcPr>
            <w:tcW w:w="952" w:type="dxa"/>
            <w:shd w:val="clear" w:color="auto" w:fill="auto"/>
            <w:vAlign w:val="bottom"/>
          </w:tcPr>
          <w:p>
            <w:pPr>
              <w:rPr>
                <w:rFonts w:ascii="宋体" w:hAnsi="宋体" w:eastAsia="宋体" w:cs="宋体"/>
                <w:color w:val="000000"/>
                <w:sz w:val="20"/>
                <w:szCs w:val="20"/>
              </w:rPr>
            </w:pPr>
          </w:p>
        </w:tc>
        <w:tc>
          <w:tcPr>
            <w:tcW w:w="947" w:type="dxa"/>
            <w:gridSpan w:val="2"/>
            <w:shd w:val="clear" w:color="auto" w:fill="auto"/>
            <w:vAlign w:val="bottom"/>
          </w:tcPr>
          <w:p>
            <w:pPr>
              <w:rPr>
                <w:rFonts w:ascii="宋体" w:hAnsi="宋体" w:eastAsia="宋体" w:cs="宋体"/>
                <w:color w:val="000000"/>
                <w:sz w:val="20"/>
                <w:szCs w:val="20"/>
              </w:rPr>
            </w:pPr>
          </w:p>
        </w:tc>
        <w:tc>
          <w:tcPr>
            <w:tcW w:w="5451" w:type="dxa"/>
            <w:gridSpan w:val="4"/>
            <w:vMerge w:val="continue"/>
            <w:shd w:val="clear" w:color="auto" w:fill="auto"/>
            <w:vAlign w:val="center"/>
          </w:tcPr>
          <w:p>
            <w:pPr>
              <w:jc w:val="center"/>
              <w:rPr>
                <w:rFonts w:ascii="宋体" w:hAnsi="宋体" w:eastAsia="宋体" w:cs="宋体"/>
                <w:b/>
                <w:color w:val="000000"/>
                <w:sz w:val="28"/>
                <w:szCs w:val="28"/>
              </w:rPr>
            </w:pPr>
          </w:p>
        </w:tc>
        <w:tc>
          <w:tcPr>
            <w:tcW w:w="2052" w:type="dxa"/>
            <w:shd w:val="clear" w:color="auto" w:fill="auto"/>
            <w:vAlign w:val="bottom"/>
          </w:tcPr>
          <w:p>
            <w:pP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5" w:hRule="atLeast"/>
        </w:trPr>
        <w:tc>
          <w:tcPr>
            <w:tcW w:w="952" w:type="dxa"/>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部门：</w:t>
            </w:r>
          </w:p>
        </w:tc>
        <w:tc>
          <w:tcPr>
            <w:tcW w:w="4443" w:type="dxa"/>
            <w:gridSpan w:val="4"/>
            <w:shd w:val="clear" w:color="auto" w:fill="auto"/>
            <w:vAlign w:val="center"/>
          </w:tcPr>
          <w:p>
            <w:pPr>
              <w:jc w:val="left"/>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深圳市龙岗区吉华街道办事处</w:t>
            </w:r>
          </w:p>
        </w:tc>
        <w:tc>
          <w:tcPr>
            <w:tcW w:w="1955" w:type="dxa"/>
            <w:gridSpan w:val="2"/>
            <w:shd w:val="clear" w:color="auto" w:fill="auto"/>
            <w:vAlign w:val="bottom"/>
          </w:tcPr>
          <w:p>
            <w:pPr>
              <w:rPr>
                <w:rFonts w:ascii="宋体" w:hAnsi="宋体" w:eastAsia="宋体" w:cs="宋体"/>
                <w:color w:val="000000"/>
                <w:sz w:val="20"/>
                <w:szCs w:val="20"/>
              </w:rPr>
            </w:pPr>
          </w:p>
        </w:tc>
        <w:tc>
          <w:tcPr>
            <w:tcW w:w="2052" w:type="dxa"/>
            <w:shd w:val="clear" w:color="auto" w:fill="auto"/>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sz w:val="20"/>
                <w:szCs w:val="20"/>
              </w:rPr>
              <w:t>单位:万元</w:t>
            </w:r>
          </w:p>
        </w:tc>
      </w:tr>
      <w:tr>
        <w:tblPrEx>
          <w:tblLayout w:type="fixed"/>
          <w:tblCellMar>
            <w:top w:w="15" w:type="dxa"/>
            <w:left w:w="15" w:type="dxa"/>
            <w:bottom w:w="15" w:type="dxa"/>
            <w:right w:w="15" w:type="dxa"/>
          </w:tblCellMar>
        </w:tblPrEx>
        <w:trPr>
          <w:trHeight w:val="285" w:hRule="atLeast"/>
        </w:trPr>
        <w:tc>
          <w:tcPr>
            <w:tcW w:w="119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科目编码</w:t>
            </w:r>
          </w:p>
        </w:tc>
        <w:tc>
          <w:tcPr>
            <w:tcW w:w="265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科目名称</w:t>
            </w:r>
          </w:p>
        </w:tc>
        <w:tc>
          <w:tcPr>
            <w:tcW w:w="554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2018年政府性基金预算支出数</w:t>
            </w:r>
          </w:p>
        </w:tc>
      </w:tr>
      <w:tr>
        <w:tblPrEx>
          <w:tblLayout w:type="fixed"/>
          <w:tblCellMar>
            <w:top w:w="15" w:type="dxa"/>
            <w:left w:w="15" w:type="dxa"/>
            <w:bottom w:w="15" w:type="dxa"/>
            <w:right w:w="15" w:type="dxa"/>
          </w:tblCellMar>
        </w:tblPrEx>
        <w:trPr>
          <w:trHeight w:val="285" w:hRule="atLeast"/>
        </w:trPr>
        <w:tc>
          <w:tcPr>
            <w:tcW w:w="1198" w:type="dxa"/>
            <w:gridSpan w:val="2"/>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2656" w:type="dxa"/>
            <w:gridSpan w:val="2"/>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1814"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合计</w:t>
            </w:r>
          </w:p>
        </w:tc>
        <w:tc>
          <w:tcPr>
            <w:tcW w:w="1682"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基本支出</w:t>
            </w:r>
          </w:p>
        </w:tc>
        <w:tc>
          <w:tcPr>
            <w:tcW w:w="2052"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项目支出</w:t>
            </w:r>
          </w:p>
        </w:tc>
      </w:tr>
      <w:tr>
        <w:tblPrEx>
          <w:tblLayout w:type="fixed"/>
          <w:tblCellMar>
            <w:top w:w="15" w:type="dxa"/>
            <w:left w:w="15" w:type="dxa"/>
            <w:bottom w:w="15" w:type="dxa"/>
            <w:right w:w="15" w:type="dxa"/>
          </w:tblCellMar>
        </w:tblPrEx>
        <w:trPr>
          <w:trHeight w:val="285" w:hRule="atLeast"/>
        </w:trPr>
        <w:tc>
          <w:tcPr>
            <w:tcW w:w="1198"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rPr>
                <w:rFonts w:ascii="宋体" w:hAnsi="宋体" w:eastAsia="宋体" w:cs="宋体"/>
                <w:color w:val="000000"/>
                <w:sz w:val="20"/>
                <w:szCs w:val="20"/>
              </w:rPr>
            </w:pPr>
          </w:p>
        </w:tc>
        <w:tc>
          <w:tcPr>
            <w:tcW w:w="265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合计</w:t>
            </w:r>
          </w:p>
        </w:tc>
        <w:tc>
          <w:tcPr>
            <w:tcW w:w="181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5,548 </w:t>
            </w:r>
          </w:p>
        </w:tc>
        <w:tc>
          <w:tcPr>
            <w:tcW w:w="16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0 </w:t>
            </w:r>
          </w:p>
        </w:tc>
        <w:tc>
          <w:tcPr>
            <w:tcW w:w="205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5,548 </w:t>
            </w:r>
          </w:p>
        </w:tc>
      </w:tr>
      <w:tr>
        <w:tblPrEx>
          <w:tblLayout w:type="fixed"/>
          <w:tblCellMar>
            <w:top w:w="15" w:type="dxa"/>
            <w:left w:w="15" w:type="dxa"/>
            <w:bottom w:w="15" w:type="dxa"/>
            <w:right w:w="15" w:type="dxa"/>
          </w:tblCellMar>
        </w:tblPrEx>
        <w:trPr>
          <w:trHeight w:val="285" w:hRule="atLeast"/>
        </w:trPr>
        <w:tc>
          <w:tcPr>
            <w:tcW w:w="11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w:t>
            </w:r>
          </w:p>
        </w:tc>
        <w:tc>
          <w:tcPr>
            <w:tcW w:w="265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城乡社区支出</w:t>
            </w:r>
          </w:p>
        </w:tc>
        <w:tc>
          <w:tcPr>
            <w:tcW w:w="181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5,548 </w:t>
            </w:r>
          </w:p>
        </w:tc>
        <w:tc>
          <w:tcPr>
            <w:tcW w:w="16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0 </w:t>
            </w:r>
          </w:p>
        </w:tc>
        <w:tc>
          <w:tcPr>
            <w:tcW w:w="205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5,548 </w:t>
            </w:r>
          </w:p>
        </w:tc>
      </w:tr>
      <w:tr>
        <w:tblPrEx>
          <w:tblLayout w:type="fixed"/>
          <w:tblCellMar>
            <w:top w:w="15" w:type="dxa"/>
            <w:left w:w="15" w:type="dxa"/>
            <w:bottom w:w="15" w:type="dxa"/>
            <w:right w:w="15" w:type="dxa"/>
          </w:tblCellMar>
        </w:tblPrEx>
        <w:trPr>
          <w:trHeight w:val="285" w:hRule="atLeast"/>
        </w:trPr>
        <w:tc>
          <w:tcPr>
            <w:tcW w:w="11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w:t>
            </w:r>
          </w:p>
        </w:tc>
        <w:tc>
          <w:tcPr>
            <w:tcW w:w="265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国有土地使用权出让收入及对应专项债务收入安排的支出</w:t>
            </w:r>
          </w:p>
        </w:tc>
        <w:tc>
          <w:tcPr>
            <w:tcW w:w="181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5,548 </w:t>
            </w:r>
          </w:p>
        </w:tc>
        <w:tc>
          <w:tcPr>
            <w:tcW w:w="16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0 </w:t>
            </w:r>
          </w:p>
        </w:tc>
        <w:tc>
          <w:tcPr>
            <w:tcW w:w="205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5,548 </w:t>
            </w:r>
          </w:p>
        </w:tc>
      </w:tr>
      <w:tr>
        <w:tblPrEx>
          <w:tblLayout w:type="fixed"/>
          <w:tblCellMar>
            <w:top w:w="15" w:type="dxa"/>
            <w:left w:w="15" w:type="dxa"/>
            <w:bottom w:w="15" w:type="dxa"/>
            <w:right w:w="15" w:type="dxa"/>
          </w:tblCellMar>
        </w:tblPrEx>
        <w:trPr>
          <w:trHeight w:val="285" w:hRule="atLeast"/>
        </w:trPr>
        <w:tc>
          <w:tcPr>
            <w:tcW w:w="11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2120801</w:t>
            </w:r>
          </w:p>
        </w:tc>
        <w:tc>
          <w:tcPr>
            <w:tcW w:w="265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征地和拆迁补偿支出</w:t>
            </w:r>
          </w:p>
        </w:tc>
        <w:tc>
          <w:tcPr>
            <w:tcW w:w="181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4,000 </w:t>
            </w:r>
          </w:p>
        </w:tc>
        <w:tc>
          <w:tcPr>
            <w:tcW w:w="16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205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4,000 </w:t>
            </w:r>
          </w:p>
        </w:tc>
      </w:tr>
      <w:tr>
        <w:tblPrEx>
          <w:tblLayout w:type="fixed"/>
          <w:tblCellMar>
            <w:top w:w="15" w:type="dxa"/>
            <w:left w:w="15" w:type="dxa"/>
            <w:bottom w:w="15" w:type="dxa"/>
            <w:right w:w="15" w:type="dxa"/>
          </w:tblCellMar>
        </w:tblPrEx>
        <w:trPr>
          <w:trHeight w:val="285" w:hRule="atLeast"/>
        </w:trPr>
        <w:tc>
          <w:tcPr>
            <w:tcW w:w="11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2120803</w:t>
            </w:r>
          </w:p>
        </w:tc>
        <w:tc>
          <w:tcPr>
            <w:tcW w:w="265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城市建设支出</w:t>
            </w:r>
          </w:p>
        </w:tc>
        <w:tc>
          <w:tcPr>
            <w:tcW w:w="181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1,548 </w:t>
            </w:r>
          </w:p>
        </w:tc>
        <w:tc>
          <w:tcPr>
            <w:tcW w:w="16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0 </w:t>
            </w:r>
          </w:p>
        </w:tc>
        <w:tc>
          <w:tcPr>
            <w:tcW w:w="205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1,548 </w:t>
            </w:r>
          </w:p>
        </w:tc>
      </w:tr>
    </w:tbl>
    <w:p>
      <w:pPr>
        <w:spacing w:line="180" w:lineRule="atLeast"/>
        <w:rPr>
          <w:sz w:val="21"/>
          <w:szCs w:val="21"/>
        </w:rPr>
      </w:pPr>
    </w:p>
    <w:p>
      <w:pPr>
        <w:spacing w:line="180" w:lineRule="atLeast"/>
        <w:rPr>
          <w:sz w:val="21"/>
          <w:szCs w:val="21"/>
        </w:rPr>
      </w:pPr>
    </w:p>
    <w:p>
      <w:pPr>
        <w:spacing w:line="180" w:lineRule="atLeast"/>
        <w:rPr>
          <w:sz w:val="21"/>
          <w:szCs w:val="21"/>
        </w:rPr>
      </w:pPr>
    </w:p>
    <w:p>
      <w:pPr>
        <w:spacing w:line="180" w:lineRule="atLeast"/>
        <w:rPr>
          <w:sz w:val="21"/>
          <w:szCs w:val="21"/>
        </w:rPr>
      </w:pPr>
    </w:p>
    <w:tbl>
      <w:tblPr>
        <w:tblStyle w:val="5"/>
        <w:tblW w:w="9525" w:type="dxa"/>
        <w:tblInd w:w="0" w:type="dxa"/>
        <w:tblLayout w:type="fixed"/>
        <w:tblCellMar>
          <w:top w:w="15" w:type="dxa"/>
          <w:left w:w="15" w:type="dxa"/>
          <w:bottom w:w="15" w:type="dxa"/>
          <w:right w:w="15" w:type="dxa"/>
        </w:tblCellMar>
      </w:tblPr>
      <w:tblGrid>
        <w:gridCol w:w="960"/>
        <w:gridCol w:w="1425"/>
        <w:gridCol w:w="960"/>
        <w:gridCol w:w="960"/>
        <w:gridCol w:w="540"/>
        <w:gridCol w:w="1380"/>
        <w:gridCol w:w="1380"/>
        <w:gridCol w:w="30"/>
        <w:gridCol w:w="1890"/>
      </w:tblGrid>
      <w:tr>
        <w:tblPrEx>
          <w:tblLayout w:type="fixed"/>
          <w:tblCellMar>
            <w:top w:w="15" w:type="dxa"/>
            <w:left w:w="15" w:type="dxa"/>
            <w:bottom w:w="15" w:type="dxa"/>
            <w:right w:w="15" w:type="dxa"/>
          </w:tblCellMar>
        </w:tblPrEx>
        <w:trPr>
          <w:trHeight w:val="285" w:hRule="atLeast"/>
        </w:trPr>
        <w:tc>
          <w:tcPr>
            <w:tcW w:w="9525" w:type="dxa"/>
            <w:gridSpan w:val="9"/>
            <w:shd w:val="clear" w:color="auto" w:fill="auto"/>
          </w:tcPr>
          <w:p>
            <w:pPr>
              <w:widowControl/>
              <w:jc w:val="left"/>
              <w:textAlignment w:val="top"/>
              <w:rPr>
                <w:rFonts w:ascii="宋体" w:hAnsi="宋体" w:eastAsia="宋体" w:cs="宋体"/>
                <w:color w:val="000000"/>
                <w:sz w:val="20"/>
                <w:szCs w:val="20"/>
              </w:rPr>
            </w:pPr>
          </w:p>
          <w:p>
            <w:pPr>
              <w:widowControl/>
              <w:jc w:val="left"/>
              <w:textAlignment w:val="top"/>
              <w:rPr>
                <w:rFonts w:ascii="宋体" w:hAnsi="宋体" w:eastAsia="宋体" w:cs="宋体"/>
                <w:color w:val="000000"/>
                <w:sz w:val="20"/>
                <w:szCs w:val="20"/>
              </w:rPr>
            </w:pPr>
          </w:p>
          <w:p>
            <w:pPr>
              <w:widowControl/>
              <w:jc w:val="left"/>
              <w:textAlignment w:val="top"/>
              <w:rPr>
                <w:rFonts w:ascii="宋体" w:hAnsi="宋体" w:eastAsia="宋体" w:cs="宋体"/>
                <w:color w:val="000000"/>
                <w:sz w:val="20"/>
                <w:szCs w:val="20"/>
              </w:rPr>
            </w:pPr>
            <w:r>
              <w:rPr>
                <w:rFonts w:hint="eastAsia" w:ascii="宋体" w:hAnsi="宋体" w:eastAsia="宋体" w:cs="宋体"/>
                <w:color w:val="000000"/>
                <w:sz w:val="20"/>
                <w:szCs w:val="20"/>
              </w:rPr>
              <w:t>表八</w:t>
            </w:r>
          </w:p>
        </w:tc>
      </w:tr>
      <w:tr>
        <w:tblPrEx>
          <w:tblLayout w:type="fixed"/>
          <w:tblCellMar>
            <w:top w:w="15" w:type="dxa"/>
            <w:left w:w="15" w:type="dxa"/>
            <w:bottom w:w="15" w:type="dxa"/>
            <w:right w:w="15" w:type="dxa"/>
          </w:tblCellMar>
        </w:tblPrEx>
        <w:trPr>
          <w:trHeight w:val="285" w:hRule="atLeast"/>
        </w:trPr>
        <w:tc>
          <w:tcPr>
            <w:tcW w:w="9525" w:type="dxa"/>
            <w:gridSpan w:val="9"/>
            <w:shd w:val="clear" w:color="auto" w:fill="auto"/>
            <w:vAlign w:val="center"/>
          </w:tcPr>
          <w:p>
            <w:pPr>
              <w:widowControl/>
              <w:jc w:val="center"/>
              <w:textAlignment w:val="center"/>
              <w:rPr>
                <w:rFonts w:ascii="黑体" w:hAnsi="宋体" w:eastAsia="黑体" w:cs="黑体"/>
                <w:b/>
                <w:color w:val="000000"/>
                <w:sz w:val="28"/>
                <w:szCs w:val="28"/>
              </w:rPr>
            </w:pPr>
            <w:r>
              <w:rPr>
                <w:rFonts w:hint="eastAsia" w:ascii="黑体" w:hAnsi="宋体" w:eastAsia="黑体" w:cs="黑体"/>
                <w:b/>
                <w:color w:val="000000"/>
                <w:sz w:val="28"/>
                <w:szCs w:val="28"/>
              </w:rPr>
              <w:t>一般公共预算“三公”经费支出表</w:t>
            </w:r>
          </w:p>
        </w:tc>
      </w:tr>
      <w:tr>
        <w:tblPrEx>
          <w:tblLayout w:type="fixed"/>
          <w:tblCellMar>
            <w:top w:w="15" w:type="dxa"/>
            <w:left w:w="15" w:type="dxa"/>
            <w:bottom w:w="15" w:type="dxa"/>
            <w:right w:w="15" w:type="dxa"/>
          </w:tblCellMar>
        </w:tblPrEx>
        <w:trPr>
          <w:trHeight w:val="285" w:hRule="atLeast"/>
        </w:trPr>
        <w:tc>
          <w:tcPr>
            <w:tcW w:w="4305" w:type="dxa"/>
            <w:gridSpan w:val="4"/>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sz w:val="18"/>
                <w:szCs w:val="18"/>
              </w:rPr>
              <w:t>部门：深圳市龙岗区吉华街道办事处</w:t>
            </w:r>
          </w:p>
        </w:tc>
        <w:tc>
          <w:tcPr>
            <w:tcW w:w="3300" w:type="dxa"/>
            <w:gridSpan w:val="3"/>
            <w:shd w:val="clear" w:color="auto" w:fill="auto"/>
            <w:vAlign w:val="bottom"/>
          </w:tcPr>
          <w:p>
            <w:pPr>
              <w:rPr>
                <w:rFonts w:ascii="宋体" w:hAnsi="宋体" w:eastAsia="宋体" w:cs="宋体"/>
                <w:color w:val="000000"/>
                <w:sz w:val="20"/>
                <w:szCs w:val="20"/>
              </w:rPr>
            </w:pPr>
          </w:p>
        </w:tc>
        <w:tc>
          <w:tcPr>
            <w:tcW w:w="1920" w:type="dxa"/>
            <w:gridSpan w:val="2"/>
            <w:shd w:val="clear" w:color="auto" w:fill="auto"/>
            <w:vAlign w:val="center"/>
          </w:tcPr>
          <w:p>
            <w:pPr>
              <w:widowControl/>
              <w:jc w:val="right"/>
              <w:textAlignment w:val="center"/>
              <w:rPr>
                <w:rFonts w:ascii="宋体" w:hAnsi="宋体" w:eastAsia="宋体" w:cs="宋体"/>
                <w:color w:val="000000"/>
                <w:sz w:val="18"/>
                <w:szCs w:val="18"/>
              </w:rPr>
            </w:pPr>
            <w:r>
              <w:rPr>
                <w:rFonts w:hint="eastAsia" w:ascii="宋体" w:hAnsi="宋体" w:eastAsia="宋体" w:cs="宋体"/>
                <w:color w:val="000000"/>
                <w:sz w:val="18"/>
                <w:szCs w:val="18"/>
              </w:rPr>
              <w:t>单位:万元</w:t>
            </w:r>
          </w:p>
        </w:tc>
      </w:tr>
      <w:tr>
        <w:tblPrEx>
          <w:tblLayout w:type="fixed"/>
          <w:tblCellMar>
            <w:top w:w="15" w:type="dxa"/>
            <w:left w:w="15" w:type="dxa"/>
            <w:bottom w:w="15" w:type="dxa"/>
            <w:right w:w="15" w:type="dxa"/>
          </w:tblCellMar>
        </w:tblPrEx>
        <w:trPr>
          <w:trHeight w:val="285" w:hRule="atLeast"/>
        </w:trPr>
        <w:tc>
          <w:tcPr>
            <w:tcW w:w="9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rPr>
              <w:t>年度</w:t>
            </w:r>
          </w:p>
        </w:tc>
        <w:tc>
          <w:tcPr>
            <w:tcW w:w="14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rPr>
              <w:t>合计</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rPr>
              <w:t>因公出国（境）费</w:t>
            </w:r>
          </w:p>
        </w:tc>
        <w:tc>
          <w:tcPr>
            <w:tcW w:w="150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rPr>
              <w:t>公务接待费</w:t>
            </w:r>
          </w:p>
        </w:tc>
        <w:tc>
          <w:tcPr>
            <w:tcW w:w="468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rPr>
              <w:t>公务用车购置及运行维护费</w:t>
            </w:r>
          </w:p>
        </w:tc>
      </w:tr>
      <w:tr>
        <w:tblPrEx>
          <w:tblLayout w:type="fixed"/>
          <w:tblCellMar>
            <w:top w:w="15" w:type="dxa"/>
            <w:left w:w="15" w:type="dxa"/>
            <w:bottom w:w="15" w:type="dxa"/>
            <w:right w:w="15" w:type="dxa"/>
          </w:tblCellMar>
        </w:tblPrEx>
        <w:trPr>
          <w:trHeight w:val="285" w:hRule="atLeast"/>
        </w:trPr>
        <w:tc>
          <w:tcPr>
            <w:tcW w:w="9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18"/>
                <w:szCs w:val="18"/>
              </w:rPr>
            </w:pPr>
          </w:p>
        </w:tc>
        <w:tc>
          <w:tcPr>
            <w:tcW w:w="14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18"/>
                <w:szCs w:val="18"/>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18"/>
                <w:szCs w:val="18"/>
              </w:rPr>
            </w:pPr>
          </w:p>
        </w:tc>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18"/>
                <w:szCs w:val="18"/>
              </w:rPr>
            </w:pP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rPr>
              <w:t>小计</w:t>
            </w:r>
          </w:p>
        </w:tc>
        <w:tc>
          <w:tcPr>
            <w:tcW w:w="14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rPr>
              <w:t>公务用车购置费</w:t>
            </w:r>
          </w:p>
        </w:tc>
        <w:tc>
          <w:tcPr>
            <w:tcW w:w="18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sz w:val="18"/>
                <w:szCs w:val="18"/>
              </w:rPr>
              <w:t>公务用车运行维护费</w:t>
            </w:r>
          </w:p>
        </w:tc>
      </w:tr>
      <w:tr>
        <w:tblPrEx>
          <w:tblLayout w:type="fixed"/>
          <w:tblCellMar>
            <w:top w:w="15" w:type="dxa"/>
            <w:left w:w="15" w:type="dxa"/>
            <w:bottom w:w="15" w:type="dxa"/>
            <w:right w:w="15" w:type="dxa"/>
          </w:tblCellMar>
        </w:tblPrEx>
        <w:trPr>
          <w:trHeight w:val="285"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themeColor="text1"/>
                <w:sz w:val="18"/>
                <w:szCs w:val="18"/>
              </w:rPr>
            </w:pPr>
            <w:r>
              <w:rPr>
                <w:rFonts w:hint="eastAsia" w:ascii="宋体" w:hAnsi="宋体" w:eastAsia="宋体" w:cs="宋体"/>
                <w:color w:val="000000" w:themeColor="text1"/>
                <w:sz w:val="18"/>
                <w:szCs w:val="18"/>
              </w:rPr>
              <w:t>2018年</w:t>
            </w:r>
          </w:p>
        </w:tc>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themeColor="text1"/>
                <w:sz w:val="18"/>
                <w:szCs w:val="18"/>
              </w:rPr>
            </w:pPr>
            <w:r>
              <w:rPr>
                <w:rFonts w:hint="eastAsia" w:ascii="宋体" w:hAnsi="宋体" w:eastAsia="宋体" w:cs="宋体"/>
                <w:color w:val="000000" w:themeColor="text1"/>
                <w:sz w:val="18"/>
                <w:szCs w:val="18"/>
              </w:rPr>
              <w:t>264.90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themeColor="text1"/>
                <w:sz w:val="18"/>
                <w:szCs w:val="18"/>
              </w:rPr>
            </w:pPr>
            <w:r>
              <w:rPr>
                <w:rFonts w:hint="eastAsia" w:ascii="宋体" w:hAnsi="宋体" w:eastAsia="宋体" w:cs="宋体"/>
                <w:color w:val="000000" w:themeColor="text1"/>
                <w:sz w:val="18"/>
                <w:szCs w:val="18"/>
              </w:rPr>
              <w:t>5.00</w:t>
            </w: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themeColor="text1"/>
                <w:sz w:val="18"/>
                <w:szCs w:val="18"/>
              </w:rPr>
            </w:pPr>
            <w:r>
              <w:rPr>
                <w:rFonts w:hint="eastAsia" w:ascii="宋体" w:hAnsi="宋体" w:eastAsia="宋体" w:cs="宋体"/>
                <w:color w:val="000000" w:themeColor="text1"/>
                <w:sz w:val="18"/>
                <w:szCs w:val="18"/>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themeColor="text1"/>
                <w:sz w:val="18"/>
                <w:szCs w:val="18"/>
              </w:rPr>
            </w:pPr>
            <w:r>
              <w:rPr>
                <w:rFonts w:hint="eastAsia" w:ascii="宋体" w:hAnsi="宋体" w:eastAsia="宋体" w:cs="宋体"/>
                <w:color w:val="000000" w:themeColor="text1"/>
                <w:sz w:val="18"/>
                <w:szCs w:val="18"/>
              </w:rPr>
              <w:t>249.90</w:t>
            </w:r>
          </w:p>
        </w:tc>
        <w:tc>
          <w:tcPr>
            <w:tcW w:w="14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themeColor="text1"/>
                <w:sz w:val="18"/>
                <w:szCs w:val="18"/>
              </w:rPr>
            </w:pPr>
            <w:r>
              <w:rPr>
                <w:rFonts w:hint="eastAsia" w:ascii="宋体" w:hAnsi="宋体" w:eastAsia="宋体" w:cs="宋体"/>
                <w:color w:val="000000" w:themeColor="text1"/>
                <w:sz w:val="18"/>
                <w:szCs w:val="18"/>
              </w:rPr>
              <w:t>0.00</w:t>
            </w:r>
          </w:p>
        </w:tc>
        <w:tc>
          <w:tcPr>
            <w:tcW w:w="18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ascii="宋体" w:hAnsi="宋体" w:eastAsia="宋体" w:cs="宋体"/>
                <w:color w:val="000000" w:themeColor="text1"/>
                <w:sz w:val="18"/>
                <w:szCs w:val="18"/>
              </w:rPr>
            </w:pPr>
            <w:r>
              <w:rPr>
                <w:rFonts w:hint="eastAsia" w:ascii="宋体" w:hAnsi="宋体" w:eastAsia="宋体" w:cs="宋体"/>
                <w:color w:val="000000" w:themeColor="text1"/>
                <w:sz w:val="18"/>
                <w:szCs w:val="18"/>
              </w:rPr>
              <w:t>249.90</w:t>
            </w:r>
          </w:p>
        </w:tc>
      </w:tr>
    </w:tbl>
    <w:p>
      <w:pPr>
        <w:spacing w:line="180" w:lineRule="atLeast"/>
        <w:rPr>
          <w:sz w:val="21"/>
          <w:szCs w:val="21"/>
        </w:rPr>
      </w:pPr>
    </w:p>
    <w:p>
      <w:pPr>
        <w:spacing w:line="180" w:lineRule="atLeast"/>
        <w:rPr>
          <w:sz w:val="21"/>
          <w:szCs w:val="21"/>
        </w:rPr>
      </w:pPr>
    </w:p>
    <w:p>
      <w:pPr>
        <w:spacing w:line="180" w:lineRule="atLeast"/>
        <w:rPr>
          <w:sz w:val="21"/>
          <w:szCs w:val="21"/>
        </w:rPr>
      </w:pPr>
    </w:p>
    <w:p>
      <w:pPr>
        <w:spacing w:line="180" w:lineRule="atLeast"/>
        <w:rPr>
          <w:sz w:val="21"/>
          <w:szCs w:val="21"/>
        </w:rPr>
      </w:pPr>
    </w:p>
    <w:tbl>
      <w:tblPr>
        <w:tblStyle w:val="5"/>
        <w:tblW w:w="8095" w:type="dxa"/>
        <w:tblInd w:w="93" w:type="dxa"/>
        <w:tblLayout w:type="fixed"/>
        <w:tblCellMar>
          <w:top w:w="0" w:type="dxa"/>
          <w:left w:w="108" w:type="dxa"/>
          <w:bottom w:w="0" w:type="dxa"/>
          <w:right w:w="108" w:type="dxa"/>
        </w:tblCellMar>
      </w:tblPr>
      <w:tblGrid>
        <w:gridCol w:w="643"/>
        <w:gridCol w:w="757"/>
        <w:gridCol w:w="222"/>
        <w:gridCol w:w="1000"/>
        <w:gridCol w:w="3063"/>
        <w:gridCol w:w="257"/>
        <w:gridCol w:w="236"/>
        <w:gridCol w:w="1917"/>
      </w:tblGrid>
      <w:tr>
        <w:tblPrEx>
          <w:tblLayout w:type="fixed"/>
          <w:tblCellMar>
            <w:top w:w="0" w:type="dxa"/>
            <w:left w:w="108" w:type="dxa"/>
            <w:bottom w:w="0" w:type="dxa"/>
            <w:right w:w="108" w:type="dxa"/>
          </w:tblCellMar>
        </w:tblPrEx>
        <w:trPr>
          <w:trHeight w:val="225" w:hRule="atLeast"/>
        </w:trPr>
        <w:tc>
          <w:tcPr>
            <w:tcW w:w="1622" w:type="dxa"/>
            <w:gridSpan w:val="3"/>
            <w:vMerge w:val="restart"/>
            <w:tcBorders>
              <w:top w:val="nil"/>
              <w:left w:val="nil"/>
              <w:bottom w:val="nil"/>
              <w:right w:val="nil"/>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表九</w:t>
            </w:r>
          </w:p>
        </w:tc>
        <w:tc>
          <w:tcPr>
            <w:tcW w:w="1000"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3320" w:type="dxa"/>
            <w:gridSpan w:val="2"/>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236"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1917"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r>
      <w:tr>
        <w:tblPrEx>
          <w:tblLayout w:type="fixed"/>
          <w:tblCellMar>
            <w:top w:w="0" w:type="dxa"/>
            <w:left w:w="108" w:type="dxa"/>
            <w:bottom w:w="0" w:type="dxa"/>
            <w:right w:w="108" w:type="dxa"/>
          </w:tblCellMar>
        </w:tblPrEx>
        <w:trPr>
          <w:trHeight w:val="120" w:hRule="atLeast"/>
        </w:trPr>
        <w:tc>
          <w:tcPr>
            <w:tcW w:w="1622" w:type="dxa"/>
            <w:gridSpan w:val="3"/>
            <w:vMerge w:val="continue"/>
            <w:tcBorders>
              <w:top w:val="nil"/>
              <w:left w:val="nil"/>
              <w:bottom w:val="nil"/>
              <w:right w:val="nil"/>
            </w:tcBorders>
            <w:vAlign w:val="center"/>
          </w:tcPr>
          <w:p>
            <w:pPr>
              <w:widowControl/>
              <w:jc w:val="left"/>
              <w:rPr>
                <w:rFonts w:ascii="宋体" w:hAnsi="宋体" w:eastAsia="宋体" w:cs="宋体"/>
                <w:color w:val="000000"/>
                <w:sz w:val="20"/>
                <w:szCs w:val="20"/>
              </w:rPr>
            </w:pPr>
          </w:p>
        </w:tc>
        <w:tc>
          <w:tcPr>
            <w:tcW w:w="1000"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3063" w:type="dxa"/>
            <w:vMerge w:val="restart"/>
            <w:tcBorders>
              <w:top w:val="nil"/>
              <w:left w:val="nil"/>
              <w:bottom w:val="nil"/>
              <w:right w:val="nil"/>
            </w:tcBorders>
            <w:shd w:val="clear" w:color="FFFFFF" w:fill="FFFFFF"/>
            <w:vAlign w:val="center"/>
          </w:tcPr>
          <w:p>
            <w:pPr>
              <w:widowControl/>
              <w:jc w:val="center"/>
              <w:rPr>
                <w:rFonts w:ascii="宋体" w:hAnsi="宋体" w:eastAsia="宋体" w:cs="宋体"/>
                <w:b/>
                <w:bCs/>
                <w:color w:val="000000"/>
                <w:sz w:val="28"/>
                <w:szCs w:val="28"/>
              </w:rPr>
            </w:pPr>
            <w:r>
              <w:rPr>
                <w:rFonts w:hint="eastAsia" w:ascii="宋体" w:hAnsi="宋体" w:eastAsia="宋体" w:cs="宋体"/>
                <w:b/>
                <w:bCs/>
                <w:color w:val="000000"/>
                <w:sz w:val="28"/>
                <w:szCs w:val="28"/>
              </w:rPr>
              <w:t>政府采购预算表</w:t>
            </w:r>
          </w:p>
        </w:tc>
        <w:tc>
          <w:tcPr>
            <w:tcW w:w="2410" w:type="dxa"/>
            <w:gridSpan w:val="3"/>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r>
      <w:tr>
        <w:tblPrEx>
          <w:tblLayout w:type="fixed"/>
          <w:tblCellMar>
            <w:top w:w="0" w:type="dxa"/>
            <w:left w:w="108" w:type="dxa"/>
            <w:bottom w:w="0" w:type="dxa"/>
            <w:right w:w="108" w:type="dxa"/>
          </w:tblCellMar>
        </w:tblPrEx>
        <w:trPr>
          <w:trHeight w:val="330" w:hRule="atLeast"/>
        </w:trPr>
        <w:tc>
          <w:tcPr>
            <w:tcW w:w="1400" w:type="dxa"/>
            <w:gridSpan w:val="2"/>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222"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1000"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3063" w:type="dxa"/>
            <w:vMerge w:val="continue"/>
            <w:tcBorders>
              <w:top w:val="nil"/>
              <w:left w:val="nil"/>
              <w:bottom w:val="nil"/>
              <w:right w:val="nil"/>
            </w:tcBorders>
            <w:vAlign w:val="center"/>
          </w:tcPr>
          <w:p>
            <w:pPr>
              <w:widowControl/>
              <w:jc w:val="left"/>
              <w:rPr>
                <w:rFonts w:ascii="宋体" w:hAnsi="宋体" w:eastAsia="宋体" w:cs="宋体"/>
                <w:b/>
                <w:bCs/>
                <w:color w:val="000000"/>
                <w:sz w:val="28"/>
                <w:szCs w:val="28"/>
              </w:rPr>
            </w:pPr>
          </w:p>
        </w:tc>
        <w:tc>
          <w:tcPr>
            <w:tcW w:w="2410" w:type="dxa"/>
            <w:gridSpan w:val="3"/>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r>
      <w:tr>
        <w:tblPrEx>
          <w:tblLayout w:type="fixed"/>
          <w:tblCellMar>
            <w:top w:w="0" w:type="dxa"/>
            <w:left w:w="108" w:type="dxa"/>
            <w:bottom w:w="0" w:type="dxa"/>
            <w:right w:w="108" w:type="dxa"/>
          </w:tblCellMar>
        </w:tblPrEx>
        <w:trPr>
          <w:trHeight w:val="210" w:hRule="atLeast"/>
        </w:trPr>
        <w:tc>
          <w:tcPr>
            <w:tcW w:w="1400" w:type="dxa"/>
            <w:gridSpan w:val="2"/>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222"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1000"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3320" w:type="dxa"/>
            <w:gridSpan w:val="2"/>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236"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1917"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r>
      <w:tr>
        <w:tblPrEx>
          <w:tblLayout w:type="fixed"/>
          <w:tblCellMar>
            <w:top w:w="0" w:type="dxa"/>
            <w:left w:w="108" w:type="dxa"/>
            <w:bottom w:w="0" w:type="dxa"/>
            <w:right w:w="108" w:type="dxa"/>
          </w:tblCellMar>
        </w:tblPrEx>
        <w:trPr>
          <w:trHeight w:val="330" w:hRule="atLeast"/>
        </w:trPr>
        <w:tc>
          <w:tcPr>
            <w:tcW w:w="1400" w:type="dxa"/>
            <w:gridSpan w:val="2"/>
            <w:tcBorders>
              <w:top w:val="nil"/>
              <w:left w:val="nil"/>
              <w:bottom w:val="nil"/>
              <w:right w:val="nil"/>
            </w:tcBorders>
            <w:shd w:val="clear" w:color="FFFFFF" w:fill="FFFFFF"/>
            <w:vAlign w:val="center"/>
          </w:tcPr>
          <w:p>
            <w:pPr>
              <w:widowControl/>
              <w:jc w:val="center"/>
              <w:rPr>
                <w:rFonts w:ascii="宋体" w:hAnsi="宋体" w:eastAsia="宋体" w:cs="宋体"/>
                <w:color w:val="000000"/>
                <w:sz w:val="20"/>
                <w:szCs w:val="20"/>
              </w:rPr>
            </w:pPr>
            <w:r>
              <w:rPr>
                <w:rFonts w:hint="eastAsia" w:ascii="宋体" w:hAnsi="宋体" w:eastAsia="宋体" w:cs="宋体"/>
                <w:color w:val="000000"/>
                <w:sz w:val="20"/>
                <w:szCs w:val="20"/>
              </w:rPr>
              <w:t>部门：</w:t>
            </w:r>
          </w:p>
        </w:tc>
        <w:tc>
          <w:tcPr>
            <w:tcW w:w="4542" w:type="dxa"/>
            <w:gridSpan w:val="4"/>
            <w:tcBorders>
              <w:top w:val="nil"/>
              <w:left w:val="nil"/>
              <w:bottom w:val="nil"/>
              <w:right w:val="nil"/>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深圳市龙岗区吉华街道办事处</w:t>
            </w:r>
          </w:p>
        </w:tc>
        <w:tc>
          <w:tcPr>
            <w:tcW w:w="236" w:type="dxa"/>
            <w:tcBorders>
              <w:top w:val="nil"/>
              <w:left w:val="nil"/>
              <w:bottom w:val="nil"/>
              <w:right w:val="nil"/>
            </w:tcBorders>
            <w:shd w:val="clear" w:color="auto" w:fill="auto"/>
            <w:vAlign w:val="bottom"/>
          </w:tcPr>
          <w:p>
            <w:pPr>
              <w:widowControl/>
              <w:jc w:val="left"/>
              <w:rPr>
                <w:rFonts w:ascii="宋体" w:hAnsi="宋体" w:eastAsia="宋体" w:cs="宋体"/>
                <w:color w:val="000000"/>
                <w:sz w:val="20"/>
                <w:szCs w:val="20"/>
              </w:rPr>
            </w:pPr>
          </w:p>
        </w:tc>
        <w:tc>
          <w:tcPr>
            <w:tcW w:w="1917" w:type="dxa"/>
            <w:tcBorders>
              <w:top w:val="nil"/>
              <w:left w:val="nil"/>
              <w:bottom w:val="nil"/>
              <w:right w:val="nil"/>
            </w:tcBorders>
            <w:shd w:val="clear" w:color="FFFFFF" w:fill="FFFFFF"/>
            <w:vAlign w:val="center"/>
          </w:tcPr>
          <w:p>
            <w:pPr>
              <w:widowControl/>
              <w:jc w:val="center"/>
              <w:rPr>
                <w:rFonts w:ascii="宋体" w:hAnsi="宋体" w:eastAsia="宋体" w:cs="宋体"/>
                <w:color w:val="000000"/>
                <w:sz w:val="20"/>
                <w:szCs w:val="20"/>
              </w:rPr>
            </w:pPr>
            <w:r>
              <w:rPr>
                <w:rFonts w:hint="eastAsia" w:ascii="宋体" w:hAnsi="宋体" w:eastAsia="宋体" w:cs="宋体"/>
                <w:color w:val="000000"/>
                <w:sz w:val="20"/>
                <w:szCs w:val="20"/>
              </w:rPr>
              <w:t>单位：万元</w:t>
            </w:r>
          </w:p>
        </w:tc>
      </w:tr>
      <w:tr>
        <w:tblPrEx>
          <w:tblLayout w:type="fixed"/>
          <w:tblCellMar>
            <w:top w:w="0" w:type="dxa"/>
            <w:left w:w="108" w:type="dxa"/>
            <w:bottom w:w="0" w:type="dxa"/>
            <w:right w:w="108" w:type="dxa"/>
          </w:tblCellMar>
        </w:tblPrEx>
        <w:trPr>
          <w:trHeight w:val="345"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center"/>
              <w:rPr>
                <w:rFonts w:ascii="宋体" w:hAnsi="宋体" w:eastAsia="宋体" w:cs="宋体"/>
                <w:color w:val="000000"/>
                <w:sz w:val="20"/>
                <w:szCs w:val="20"/>
              </w:rPr>
            </w:pPr>
            <w:r>
              <w:rPr>
                <w:rFonts w:hint="eastAsia" w:ascii="宋体" w:hAnsi="宋体" w:eastAsia="宋体" w:cs="宋体"/>
                <w:color w:val="000000"/>
                <w:sz w:val="20"/>
                <w:szCs w:val="20"/>
              </w:rPr>
              <w:t>品目编码</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center"/>
              <w:rPr>
                <w:rFonts w:ascii="宋体" w:hAnsi="宋体" w:eastAsia="宋体" w:cs="宋体"/>
                <w:color w:val="000000"/>
                <w:sz w:val="20"/>
                <w:szCs w:val="20"/>
              </w:rPr>
            </w:pPr>
            <w:r>
              <w:rPr>
                <w:rFonts w:hint="eastAsia" w:ascii="宋体" w:hAnsi="宋体" w:eastAsia="宋体" w:cs="宋体"/>
                <w:color w:val="000000"/>
                <w:sz w:val="20"/>
                <w:szCs w:val="20"/>
              </w:rPr>
              <w:t>品目名称</w:t>
            </w:r>
          </w:p>
        </w:tc>
        <w:tc>
          <w:tcPr>
            <w:tcW w:w="2410" w:type="dxa"/>
            <w:gridSpan w:val="3"/>
            <w:tcBorders>
              <w:top w:val="single" w:color="auto" w:sz="4" w:space="0"/>
              <w:left w:val="nil"/>
              <w:bottom w:val="single" w:color="auto" w:sz="4" w:space="0"/>
              <w:right w:val="single" w:color="auto" w:sz="4" w:space="0"/>
            </w:tcBorders>
            <w:shd w:val="clear" w:color="FFFFFF" w:fill="FFFFFF"/>
            <w:vAlign w:val="center"/>
          </w:tcPr>
          <w:p>
            <w:pPr>
              <w:widowControl/>
              <w:jc w:val="center"/>
              <w:rPr>
                <w:rFonts w:ascii="宋体" w:hAnsi="宋体" w:eastAsia="宋体" w:cs="宋体"/>
                <w:color w:val="000000"/>
                <w:sz w:val="20"/>
                <w:szCs w:val="20"/>
              </w:rPr>
            </w:pPr>
            <w:r>
              <w:rPr>
                <w:rFonts w:hint="eastAsia" w:ascii="宋体" w:hAnsi="宋体" w:eastAsia="宋体" w:cs="宋体"/>
                <w:color w:val="000000"/>
                <w:sz w:val="20"/>
                <w:szCs w:val="20"/>
              </w:rPr>
              <w:t>金额</w:t>
            </w:r>
          </w:p>
        </w:tc>
      </w:tr>
      <w:tr>
        <w:tblPrEx>
          <w:tblLayout w:type="fixed"/>
          <w:tblCellMar>
            <w:top w:w="0" w:type="dxa"/>
            <w:left w:w="108" w:type="dxa"/>
            <w:bottom w:w="0" w:type="dxa"/>
            <w:right w:w="108" w:type="dxa"/>
          </w:tblCellMar>
        </w:tblPrEx>
        <w:trPr>
          <w:trHeight w:val="360" w:hRule="atLeast"/>
        </w:trPr>
        <w:tc>
          <w:tcPr>
            <w:tcW w:w="2622" w:type="dxa"/>
            <w:gridSpan w:val="4"/>
            <w:tcBorders>
              <w:top w:val="single" w:color="000000" w:sz="4" w:space="0"/>
              <w:left w:val="single" w:color="000000" w:sz="4" w:space="0"/>
              <w:bottom w:val="single" w:color="000000" w:sz="4" w:space="0"/>
              <w:right w:val="nil"/>
            </w:tcBorders>
            <w:shd w:val="clear" w:color="auto" w:fill="auto"/>
            <w:vAlign w:val="bottom"/>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　</w:t>
            </w:r>
          </w:p>
        </w:tc>
        <w:tc>
          <w:tcPr>
            <w:tcW w:w="3063" w:type="dxa"/>
            <w:tcBorders>
              <w:top w:val="single" w:color="auto" w:sz="4" w:space="0"/>
              <w:left w:val="single" w:color="auto" w:sz="4" w:space="0"/>
              <w:bottom w:val="single" w:color="auto" w:sz="4" w:space="0"/>
              <w:right w:val="nil"/>
            </w:tcBorders>
            <w:shd w:val="clear" w:color="FFFFFF" w:fill="FFFFFF"/>
            <w:vAlign w:val="center"/>
          </w:tcPr>
          <w:p>
            <w:pPr>
              <w:widowControl/>
              <w:jc w:val="center"/>
              <w:rPr>
                <w:rFonts w:ascii="宋体" w:hAnsi="宋体" w:eastAsia="宋体" w:cs="宋体"/>
                <w:b/>
                <w:bCs/>
                <w:color w:val="000000"/>
                <w:sz w:val="20"/>
                <w:szCs w:val="20"/>
              </w:rPr>
            </w:pPr>
            <w:r>
              <w:rPr>
                <w:rFonts w:hint="eastAsia" w:ascii="宋体" w:hAnsi="宋体" w:eastAsia="宋体" w:cs="宋体"/>
                <w:b/>
                <w:bCs/>
                <w:color w:val="000000"/>
                <w:sz w:val="20"/>
                <w:szCs w:val="20"/>
              </w:rPr>
              <w:t>合计</w:t>
            </w:r>
          </w:p>
        </w:tc>
        <w:tc>
          <w:tcPr>
            <w:tcW w:w="2410" w:type="dxa"/>
            <w:gridSpan w:val="3"/>
            <w:tcBorders>
              <w:top w:val="nil"/>
              <w:left w:val="single" w:color="auto" w:sz="4" w:space="0"/>
              <w:bottom w:val="single" w:color="auto" w:sz="4" w:space="0"/>
              <w:right w:val="single" w:color="auto" w:sz="4" w:space="0"/>
            </w:tcBorders>
            <w:shd w:val="clear" w:color="FFFFFF" w:fill="FFFFFF"/>
            <w:vAlign w:val="center"/>
          </w:tcPr>
          <w:p>
            <w:pPr>
              <w:widowControl/>
              <w:jc w:val="right"/>
              <w:rPr>
                <w:rFonts w:ascii="宋体" w:hAnsi="宋体" w:eastAsia="宋体" w:cs="宋体"/>
                <w:b/>
                <w:bCs/>
                <w:color w:val="000000"/>
                <w:sz w:val="20"/>
                <w:szCs w:val="20"/>
              </w:rPr>
            </w:pPr>
            <w:r>
              <w:rPr>
                <w:rFonts w:hint="eastAsia" w:ascii="宋体" w:hAnsi="宋体" w:eastAsia="宋体" w:cs="宋体"/>
                <w:b/>
                <w:bCs/>
                <w:color w:val="000000"/>
                <w:sz w:val="20"/>
                <w:szCs w:val="20"/>
              </w:rPr>
              <w:t>7,431.67</w:t>
            </w:r>
          </w:p>
        </w:tc>
      </w:tr>
      <w:tr>
        <w:tblPrEx>
          <w:tblLayout w:type="fixed"/>
          <w:tblCellMar>
            <w:top w:w="0" w:type="dxa"/>
            <w:left w:w="108" w:type="dxa"/>
            <w:bottom w:w="0" w:type="dxa"/>
            <w:right w:w="108" w:type="dxa"/>
          </w:tblCellMar>
        </w:tblPrEx>
        <w:trPr>
          <w:trHeight w:val="36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w:t>
            </w:r>
          </w:p>
        </w:tc>
        <w:tc>
          <w:tcPr>
            <w:tcW w:w="3063" w:type="dxa"/>
            <w:tcBorders>
              <w:top w:val="single" w:color="auto" w:sz="4" w:space="0"/>
              <w:left w:val="nil"/>
              <w:bottom w:val="single" w:color="auto" w:sz="4" w:space="0"/>
              <w:right w:val="nil"/>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货物类</w:t>
            </w:r>
          </w:p>
        </w:tc>
        <w:tc>
          <w:tcPr>
            <w:tcW w:w="2410" w:type="dxa"/>
            <w:gridSpan w:val="3"/>
            <w:tcBorders>
              <w:top w:val="nil"/>
              <w:left w:val="single" w:color="auto" w:sz="4" w:space="0"/>
              <w:bottom w:val="single" w:color="auto" w:sz="4" w:space="0"/>
              <w:right w:val="single" w:color="auto" w:sz="4" w:space="0"/>
            </w:tcBorders>
            <w:shd w:val="clear" w:color="FFFFFF" w:fill="FFFFFF"/>
            <w:vAlign w:val="center"/>
          </w:tcPr>
          <w:p>
            <w:pPr>
              <w:widowControl/>
              <w:jc w:val="right"/>
              <w:rPr>
                <w:rFonts w:ascii="宋体" w:hAnsi="宋体" w:eastAsia="宋体" w:cs="宋体"/>
                <w:b/>
                <w:bCs/>
                <w:color w:val="000000"/>
                <w:sz w:val="20"/>
                <w:szCs w:val="20"/>
              </w:rPr>
            </w:pPr>
            <w:r>
              <w:rPr>
                <w:rFonts w:hint="eastAsia" w:ascii="宋体" w:hAnsi="宋体" w:eastAsia="宋体" w:cs="宋体"/>
                <w:b/>
                <w:bCs/>
                <w:color w:val="000000"/>
                <w:sz w:val="20"/>
                <w:szCs w:val="20"/>
              </w:rPr>
              <w:t>328.56</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A030105</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空调</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8.75</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A030199</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其他电器设备</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3.70</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A030201</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台式计算机(含一体机)</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42.97</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A03020201</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普通激光式打印机</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1.35</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A03020203</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针式打印机</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0.20</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A03020205</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一般喷墨打印机</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0.70</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A030207</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扫描仪</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0.40</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A030299</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其他办公自动化设备</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10.99</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A0304</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手提电脑(含平板电脑)</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0.80</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A0307</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摄像器材</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1.80</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A030901</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中高速数码复印机</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6.50</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A1099</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其他专用设备</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0.40</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A13</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垃圾桶(果皮箱)</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250.00</w:t>
            </w:r>
          </w:p>
        </w:tc>
      </w:tr>
      <w:tr>
        <w:tblPrEx>
          <w:tblLayout w:type="fixed"/>
          <w:tblCellMar>
            <w:top w:w="0" w:type="dxa"/>
            <w:left w:w="108" w:type="dxa"/>
            <w:bottom w:w="0" w:type="dxa"/>
            <w:right w:w="108" w:type="dxa"/>
          </w:tblCellMar>
        </w:tblPrEx>
        <w:trPr>
          <w:trHeight w:val="36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C</w:t>
            </w:r>
          </w:p>
        </w:tc>
        <w:tc>
          <w:tcPr>
            <w:tcW w:w="3063" w:type="dxa"/>
            <w:tcBorders>
              <w:top w:val="single" w:color="auto" w:sz="4" w:space="0"/>
              <w:left w:val="nil"/>
              <w:bottom w:val="single" w:color="auto" w:sz="4" w:space="0"/>
              <w:right w:val="nil"/>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服务类</w:t>
            </w:r>
          </w:p>
        </w:tc>
        <w:tc>
          <w:tcPr>
            <w:tcW w:w="2410" w:type="dxa"/>
            <w:gridSpan w:val="3"/>
            <w:tcBorders>
              <w:top w:val="nil"/>
              <w:left w:val="single" w:color="auto" w:sz="4" w:space="0"/>
              <w:bottom w:val="single" w:color="auto" w:sz="4" w:space="0"/>
              <w:right w:val="single" w:color="auto" w:sz="4" w:space="0"/>
            </w:tcBorders>
            <w:shd w:val="clear" w:color="FFFFFF" w:fill="FFFFFF"/>
            <w:vAlign w:val="center"/>
          </w:tcPr>
          <w:p>
            <w:pPr>
              <w:widowControl/>
              <w:jc w:val="right"/>
              <w:rPr>
                <w:rFonts w:ascii="宋体" w:hAnsi="宋体" w:eastAsia="宋体" w:cs="宋体"/>
                <w:b/>
                <w:bCs/>
                <w:color w:val="000000"/>
                <w:sz w:val="20"/>
                <w:szCs w:val="20"/>
              </w:rPr>
            </w:pPr>
            <w:r>
              <w:rPr>
                <w:rFonts w:hint="eastAsia" w:ascii="宋体" w:hAnsi="宋体" w:eastAsia="宋体" w:cs="宋体"/>
                <w:b/>
                <w:bCs/>
                <w:color w:val="000000"/>
                <w:sz w:val="20"/>
                <w:szCs w:val="20"/>
              </w:rPr>
              <w:t>7,103.11</w:t>
            </w:r>
          </w:p>
        </w:tc>
      </w:tr>
      <w:tr>
        <w:tblPrEx>
          <w:tblLayout w:type="fixed"/>
          <w:tblCellMar>
            <w:top w:w="0" w:type="dxa"/>
            <w:left w:w="108" w:type="dxa"/>
            <w:bottom w:w="0" w:type="dxa"/>
            <w:right w:w="108" w:type="dxa"/>
          </w:tblCellMar>
        </w:tblPrEx>
        <w:trPr>
          <w:trHeight w:val="330" w:hRule="atLeast"/>
        </w:trPr>
        <w:tc>
          <w:tcPr>
            <w:tcW w:w="2622" w:type="dxa"/>
            <w:gridSpan w:val="4"/>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C9900</w:t>
            </w:r>
          </w:p>
        </w:tc>
        <w:tc>
          <w:tcPr>
            <w:tcW w:w="3063" w:type="dxa"/>
            <w:tcBorders>
              <w:top w:val="single" w:color="auto" w:sz="4" w:space="0"/>
              <w:left w:val="nil"/>
              <w:bottom w:val="single" w:color="auto" w:sz="4" w:space="0"/>
              <w:right w:val="single" w:color="auto" w:sz="4" w:space="0"/>
            </w:tcBorders>
            <w:shd w:val="clear" w:color="FFFFFF" w:fill="FFFFFF"/>
            <w:vAlign w:val="center"/>
          </w:tcPr>
          <w:p>
            <w:pPr>
              <w:widowControl/>
              <w:jc w:val="left"/>
              <w:rPr>
                <w:rFonts w:ascii="宋体" w:hAnsi="宋体" w:eastAsia="宋体" w:cs="宋体"/>
                <w:color w:val="000000"/>
                <w:sz w:val="20"/>
                <w:szCs w:val="20"/>
              </w:rPr>
            </w:pPr>
            <w:r>
              <w:rPr>
                <w:rFonts w:hint="eastAsia" w:ascii="宋体" w:hAnsi="宋体" w:eastAsia="宋体" w:cs="宋体"/>
                <w:color w:val="000000"/>
                <w:sz w:val="20"/>
                <w:szCs w:val="20"/>
              </w:rPr>
              <w:t>其他服务</w:t>
            </w:r>
          </w:p>
        </w:tc>
        <w:tc>
          <w:tcPr>
            <w:tcW w:w="2410" w:type="dxa"/>
            <w:gridSpan w:val="3"/>
            <w:tcBorders>
              <w:top w:val="nil"/>
              <w:left w:val="nil"/>
              <w:bottom w:val="single" w:color="auto" w:sz="4" w:space="0"/>
              <w:right w:val="single" w:color="auto" w:sz="4" w:space="0"/>
            </w:tcBorders>
            <w:shd w:val="clear" w:color="FFFFFF" w:fill="FFFFFF"/>
            <w:vAlign w:val="center"/>
          </w:tcPr>
          <w:p>
            <w:pPr>
              <w:widowControl/>
              <w:jc w:val="right"/>
              <w:rPr>
                <w:rFonts w:ascii="宋体" w:hAnsi="宋体" w:eastAsia="宋体" w:cs="宋体"/>
                <w:color w:val="000000"/>
                <w:sz w:val="20"/>
                <w:szCs w:val="20"/>
              </w:rPr>
            </w:pPr>
            <w:r>
              <w:rPr>
                <w:rFonts w:hint="eastAsia" w:ascii="宋体" w:hAnsi="宋体" w:eastAsia="宋体" w:cs="宋体"/>
                <w:color w:val="000000"/>
                <w:sz w:val="20"/>
                <w:szCs w:val="20"/>
              </w:rPr>
              <w:t>7,103.11</w:t>
            </w:r>
          </w:p>
        </w:tc>
      </w:tr>
      <w:tr>
        <w:tblPrEx>
          <w:tblLayout w:type="fixed"/>
          <w:tblCellMar>
            <w:top w:w="15" w:type="dxa"/>
            <w:left w:w="15" w:type="dxa"/>
            <w:bottom w:w="15" w:type="dxa"/>
            <w:right w:w="15" w:type="dxa"/>
          </w:tblCellMar>
        </w:tblPrEx>
        <w:trPr>
          <w:gridAfter w:val="7"/>
          <w:wAfter w:w="7452" w:type="dxa"/>
          <w:trHeight w:val="360" w:hRule="atLeast"/>
        </w:trPr>
        <w:tc>
          <w:tcPr>
            <w:tcW w:w="643" w:type="dxa"/>
            <w:shd w:val="clear" w:color="auto" w:fill="auto"/>
            <w:vAlign w:val="bottom"/>
          </w:tcPr>
          <w:p>
            <w:pPr>
              <w:rPr>
                <w:rFonts w:ascii="宋体" w:hAnsi="宋体" w:eastAsia="宋体" w:cs="宋体"/>
                <w:color w:val="000000"/>
                <w:sz w:val="20"/>
                <w:szCs w:val="20"/>
              </w:rPr>
            </w:pPr>
          </w:p>
        </w:tc>
      </w:tr>
    </w:tbl>
    <w:p>
      <w:pPr>
        <w:spacing w:line="180" w:lineRule="atLeast"/>
        <w:rPr>
          <w:sz w:val="21"/>
          <w:szCs w:val="21"/>
        </w:rPr>
      </w:pPr>
    </w:p>
    <w:tbl>
      <w:tblPr>
        <w:tblStyle w:val="5"/>
        <w:tblW w:w="9628" w:type="dxa"/>
        <w:tblInd w:w="0" w:type="dxa"/>
        <w:tblLayout w:type="fixed"/>
        <w:tblCellMar>
          <w:top w:w="15" w:type="dxa"/>
          <w:left w:w="15" w:type="dxa"/>
          <w:bottom w:w="15" w:type="dxa"/>
          <w:right w:w="15" w:type="dxa"/>
        </w:tblCellMar>
      </w:tblPr>
      <w:tblGrid>
        <w:gridCol w:w="988"/>
        <w:gridCol w:w="472"/>
        <w:gridCol w:w="1148"/>
        <w:gridCol w:w="516"/>
        <w:gridCol w:w="718"/>
        <w:gridCol w:w="718"/>
        <w:gridCol w:w="433"/>
        <w:gridCol w:w="294"/>
        <w:gridCol w:w="1082"/>
        <w:gridCol w:w="1082"/>
        <w:gridCol w:w="92"/>
        <w:gridCol w:w="930"/>
        <w:gridCol w:w="223"/>
        <w:gridCol w:w="932"/>
      </w:tblGrid>
      <w:tr>
        <w:tblPrEx>
          <w:tblLayout w:type="fixed"/>
          <w:tblCellMar>
            <w:top w:w="15" w:type="dxa"/>
            <w:left w:w="15" w:type="dxa"/>
            <w:bottom w:w="15" w:type="dxa"/>
            <w:right w:w="15" w:type="dxa"/>
          </w:tblCellMar>
        </w:tblPrEx>
        <w:trPr>
          <w:trHeight w:val="286" w:hRule="atLeast"/>
        </w:trPr>
        <w:tc>
          <w:tcPr>
            <w:tcW w:w="1460" w:type="dxa"/>
            <w:gridSpan w:val="2"/>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表十</w:t>
            </w:r>
          </w:p>
        </w:tc>
        <w:tc>
          <w:tcPr>
            <w:tcW w:w="1664" w:type="dxa"/>
            <w:gridSpan w:val="2"/>
            <w:shd w:val="clear" w:color="auto" w:fill="auto"/>
            <w:vAlign w:val="bottom"/>
          </w:tcPr>
          <w:p>
            <w:pPr>
              <w:rPr>
                <w:rFonts w:ascii="宋体" w:hAnsi="宋体" w:eastAsia="宋体" w:cs="宋体"/>
                <w:color w:val="000000"/>
                <w:sz w:val="20"/>
                <w:szCs w:val="20"/>
              </w:rPr>
            </w:pPr>
          </w:p>
        </w:tc>
        <w:tc>
          <w:tcPr>
            <w:tcW w:w="718" w:type="dxa"/>
            <w:shd w:val="clear" w:color="auto" w:fill="auto"/>
            <w:vAlign w:val="bottom"/>
          </w:tcPr>
          <w:p>
            <w:pPr>
              <w:rPr>
                <w:rFonts w:ascii="宋体" w:hAnsi="宋体" w:eastAsia="宋体" w:cs="宋体"/>
                <w:color w:val="000000"/>
                <w:sz w:val="20"/>
                <w:szCs w:val="20"/>
              </w:rPr>
            </w:pPr>
          </w:p>
        </w:tc>
        <w:tc>
          <w:tcPr>
            <w:tcW w:w="718" w:type="dxa"/>
            <w:shd w:val="clear" w:color="auto" w:fill="auto"/>
            <w:vAlign w:val="bottom"/>
          </w:tcPr>
          <w:p>
            <w:pPr>
              <w:rPr>
                <w:rFonts w:ascii="宋体" w:hAnsi="宋体" w:eastAsia="宋体" w:cs="宋体"/>
                <w:color w:val="000000"/>
                <w:sz w:val="20"/>
                <w:szCs w:val="20"/>
              </w:rPr>
            </w:pPr>
          </w:p>
        </w:tc>
        <w:tc>
          <w:tcPr>
            <w:tcW w:w="727" w:type="dxa"/>
            <w:gridSpan w:val="2"/>
            <w:shd w:val="clear" w:color="auto" w:fill="auto"/>
            <w:vAlign w:val="bottom"/>
          </w:tcPr>
          <w:p>
            <w:pPr>
              <w:rPr>
                <w:rFonts w:ascii="宋体" w:hAnsi="宋体" w:eastAsia="宋体" w:cs="宋体"/>
                <w:color w:val="000000"/>
                <w:sz w:val="20"/>
                <w:szCs w:val="20"/>
              </w:rPr>
            </w:pPr>
          </w:p>
        </w:tc>
        <w:tc>
          <w:tcPr>
            <w:tcW w:w="1082" w:type="dxa"/>
            <w:shd w:val="clear" w:color="auto" w:fill="auto"/>
            <w:vAlign w:val="bottom"/>
          </w:tcPr>
          <w:p>
            <w:pPr>
              <w:rPr>
                <w:rFonts w:ascii="宋体" w:hAnsi="宋体" w:eastAsia="宋体" w:cs="宋体"/>
                <w:color w:val="000000"/>
                <w:sz w:val="20"/>
                <w:szCs w:val="20"/>
              </w:rPr>
            </w:pPr>
          </w:p>
        </w:tc>
        <w:tc>
          <w:tcPr>
            <w:tcW w:w="1082" w:type="dxa"/>
            <w:shd w:val="clear" w:color="auto" w:fill="auto"/>
            <w:vAlign w:val="bottom"/>
          </w:tcPr>
          <w:p>
            <w:pPr>
              <w:rPr>
                <w:rFonts w:ascii="宋体" w:hAnsi="宋体" w:eastAsia="宋体" w:cs="宋体"/>
                <w:color w:val="000000"/>
                <w:sz w:val="20"/>
                <w:szCs w:val="20"/>
              </w:rPr>
            </w:pPr>
          </w:p>
        </w:tc>
        <w:tc>
          <w:tcPr>
            <w:tcW w:w="1245" w:type="dxa"/>
            <w:gridSpan w:val="3"/>
            <w:shd w:val="clear" w:color="auto" w:fill="auto"/>
            <w:vAlign w:val="bottom"/>
          </w:tcPr>
          <w:p>
            <w:pPr>
              <w:rPr>
                <w:rFonts w:ascii="宋体" w:hAnsi="宋体" w:eastAsia="宋体" w:cs="宋体"/>
                <w:color w:val="000000"/>
                <w:sz w:val="20"/>
                <w:szCs w:val="20"/>
              </w:rPr>
            </w:pPr>
          </w:p>
        </w:tc>
        <w:tc>
          <w:tcPr>
            <w:tcW w:w="932" w:type="dxa"/>
            <w:shd w:val="clear" w:color="auto" w:fill="auto"/>
            <w:vAlign w:val="bottom"/>
          </w:tcPr>
          <w:p>
            <w:pP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5" w:hRule="atLeast"/>
        </w:trPr>
        <w:tc>
          <w:tcPr>
            <w:tcW w:w="9628" w:type="dxa"/>
            <w:gridSpan w:val="14"/>
            <w:shd w:val="clear" w:color="auto" w:fill="auto"/>
            <w:vAlign w:val="center"/>
          </w:tcPr>
          <w:p>
            <w:pPr>
              <w:widowControl/>
              <w:jc w:val="center"/>
              <w:textAlignment w:val="center"/>
              <w:rPr>
                <w:rFonts w:ascii="宋体" w:hAnsi="宋体" w:eastAsia="宋体" w:cs="宋体"/>
                <w:b/>
                <w:color w:val="000000"/>
                <w:sz w:val="28"/>
                <w:szCs w:val="28"/>
              </w:rPr>
            </w:pPr>
            <w:r>
              <w:rPr>
                <w:rFonts w:hint="eastAsia" w:ascii="宋体" w:hAnsi="宋体" w:eastAsia="宋体" w:cs="宋体"/>
                <w:b/>
                <w:color w:val="000000"/>
                <w:sz w:val="28"/>
                <w:szCs w:val="28"/>
              </w:rPr>
              <w:t>基本建设项目资金预算表</w:t>
            </w:r>
          </w:p>
        </w:tc>
      </w:tr>
      <w:tr>
        <w:tblPrEx>
          <w:tblLayout w:type="fixed"/>
          <w:tblCellMar>
            <w:top w:w="15" w:type="dxa"/>
            <w:left w:w="15" w:type="dxa"/>
            <w:bottom w:w="15" w:type="dxa"/>
            <w:right w:w="15" w:type="dxa"/>
          </w:tblCellMar>
        </w:tblPrEx>
        <w:trPr>
          <w:trHeight w:val="285" w:hRule="atLeast"/>
        </w:trPr>
        <w:tc>
          <w:tcPr>
            <w:tcW w:w="988" w:type="dxa"/>
            <w:shd w:val="clear" w:color="auto" w:fill="auto"/>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部门：</w:t>
            </w:r>
          </w:p>
        </w:tc>
        <w:tc>
          <w:tcPr>
            <w:tcW w:w="3572" w:type="dxa"/>
            <w:gridSpan w:val="5"/>
            <w:shd w:val="clear" w:color="auto" w:fill="auto"/>
            <w:vAlign w:val="center"/>
          </w:tcPr>
          <w:p>
            <w:pPr>
              <w:jc w:val="left"/>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深圳市龙岗区吉华街道办事处</w:t>
            </w:r>
          </w:p>
        </w:tc>
        <w:tc>
          <w:tcPr>
            <w:tcW w:w="433" w:type="dxa"/>
            <w:shd w:val="clear" w:color="auto" w:fill="auto"/>
            <w:vAlign w:val="bottom"/>
          </w:tcPr>
          <w:p>
            <w:pPr>
              <w:rPr>
                <w:rFonts w:ascii="宋体" w:hAnsi="宋体" w:eastAsia="宋体" w:cs="宋体"/>
                <w:color w:val="000000"/>
                <w:sz w:val="20"/>
                <w:szCs w:val="20"/>
              </w:rPr>
            </w:pPr>
          </w:p>
        </w:tc>
        <w:tc>
          <w:tcPr>
            <w:tcW w:w="1376" w:type="dxa"/>
            <w:gridSpan w:val="2"/>
            <w:shd w:val="clear" w:color="auto" w:fill="auto"/>
            <w:vAlign w:val="bottom"/>
          </w:tcPr>
          <w:p>
            <w:pPr>
              <w:rPr>
                <w:rFonts w:ascii="宋体" w:hAnsi="宋体" w:eastAsia="宋体" w:cs="宋体"/>
                <w:color w:val="000000"/>
                <w:sz w:val="20"/>
                <w:szCs w:val="20"/>
              </w:rPr>
            </w:pPr>
          </w:p>
        </w:tc>
        <w:tc>
          <w:tcPr>
            <w:tcW w:w="1174" w:type="dxa"/>
            <w:gridSpan w:val="2"/>
            <w:shd w:val="clear" w:color="auto" w:fill="auto"/>
            <w:vAlign w:val="bottom"/>
          </w:tcPr>
          <w:p>
            <w:pPr>
              <w:rPr>
                <w:rFonts w:ascii="宋体" w:hAnsi="宋体" w:eastAsia="宋体" w:cs="宋体"/>
                <w:color w:val="000000"/>
                <w:sz w:val="20"/>
                <w:szCs w:val="20"/>
              </w:rPr>
            </w:pPr>
          </w:p>
        </w:tc>
        <w:tc>
          <w:tcPr>
            <w:tcW w:w="930" w:type="dxa"/>
            <w:shd w:val="clear" w:color="auto" w:fill="auto"/>
            <w:vAlign w:val="bottom"/>
          </w:tcPr>
          <w:p>
            <w:pPr>
              <w:rPr>
                <w:rFonts w:ascii="宋体" w:hAnsi="宋体" w:eastAsia="宋体" w:cs="宋体"/>
                <w:color w:val="000000"/>
                <w:sz w:val="20"/>
                <w:szCs w:val="20"/>
              </w:rPr>
            </w:pPr>
          </w:p>
        </w:tc>
        <w:tc>
          <w:tcPr>
            <w:tcW w:w="1155" w:type="dxa"/>
            <w:gridSpan w:val="2"/>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单位：万元</w:t>
            </w:r>
          </w:p>
        </w:tc>
      </w:tr>
      <w:tr>
        <w:tblPrEx>
          <w:tblLayout w:type="fixed"/>
          <w:tblCellMar>
            <w:top w:w="15" w:type="dxa"/>
            <w:left w:w="15" w:type="dxa"/>
            <w:bottom w:w="15" w:type="dxa"/>
            <w:right w:w="15" w:type="dxa"/>
          </w:tblCellMar>
        </w:tblPrEx>
        <w:trPr>
          <w:trHeight w:val="285" w:hRule="atLeast"/>
        </w:trPr>
        <w:tc>
          <w:tcPr>
            <w:tcW w:w="988"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单位编码</w:t>
            </w:r>
          </w:p>
        </w:tc>
        <w:tc>
          <w:tcPr>
            <w:tcW w:w="1620"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单位名称</w:t>
            </w:r>
          </w:p>
        </w:tc>
        <w:tc>
          <w:tcPr>
            <w:tcW w:w="2385" w:type="dxa"/>
            <w:gridSpan w:val="4"/>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项目编码</w:t>
            </w:r>
          </w:p>
        </w:tc>
        <w:tc>
          <w:tcPr>
            <w:tcW w:w="2550" w:type="dxa"/>
            <w:gridSpan w:val="4"/>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项目名称</w:t>
            </w:r>
          </w:p>
        </w:tc>
        <w:tc>
          <w:tcPr>
            <w:tcW w:w="93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总金额</w:t>
            </w:r>
          </w:p>
        </w:tc>
        <w:tc>
          <w:tcPr>
            <w:tcW w:w="1155"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rPr>
              <w:t>资金来源</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深圳市龙岗区吉华街道办事处</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bottom"/>
          </w:tcPr>
          <w:p>
            <w:pPr>
              <w:rPr>
                <w:rFonts w:ascii="宋体" w:hAnsi="宋体" w:eastAsia="宋体" w:cs="宋体"/>
                <w:color w:val="000000"/>
                <w:sz w:val="20"/>
                <w:szCs w:val="20"/>
              </w:rPr>
            </w:pP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bottom"/>
          </w:tcPr>
          <w:p>
            <w:pPr>
              <w:rPr>
                <w:rFonts w:ascii="宋体" w:hAnsi="宋体" w:eastAsia="宋体" w:cs="宋体"/>
                <w:color w:val="000000"/>
                <w:sz w:val="20"/>
                <w:szCs w:val="20"/>
              </w:rPr>
            </w:pP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 xml:space="preserve">7,305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rPr>
                <w:rFonts w:ascii="宋体" w:hAnsi="宋体" w:eastAsia="宋体" w:cs="宋体"/>
                <w:color w:val="000000"/>
                <w:sz w:val="20"/>
                <w:szCs w:val="20"/>
              </w:rPr>
            </w:pP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2018108104008700100016</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吉华街道老旧电气线路整治、改造项目</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400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财政拨款</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2018108104008700100014</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中海怡翠社区消防管网改造工程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300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财政拨款</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2018108104008700100011</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翠湖社区室外老旧消防管网改造工程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110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财政拨款</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201810810400870010006</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龙岗布吉110千伏秀峰变电站10千伏配套电缆沟（管）工程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400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政府性基金</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201810810400870010008</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新利厂后侧山体30万立方米渣土堆体加固治理工程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500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政府性基金</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2018108104008700100015</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吉华街道安全用电远程监测预警系统项目</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550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财政拨款</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201810810400870010005</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吉华街道水径路西段市政工程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50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政府性基金</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201810810400870010003</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吉华街道布龙路三联桥头路段道路整治工程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100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政府性基金</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201810810400870010001</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深圳市家电产业集聚基地市政基础设施甘李二号路工程（东段及西段路口）</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300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政府性基金</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2018108104008700100013</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吉华街道2017年新建及改造消防管网项目</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150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财政拨款</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201810810400870010002</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下水径三街道路改造工程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100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政府性基金</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2018108104008700100010</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吉华街道华美农场消防基础设施管网建设项目</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120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财政拨款</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201810810400870010009</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布吉街道三联社区（塘园路至科技园路）消防管网建设工程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27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财政拨款</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201810810400870010004</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上水径村道交通改善工程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98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政府性基金</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2018108104008700100012</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吉华街道老旧电气线路排查检测项目</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100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财政拨款</w:t>
            </w:r>
          </w:p>
        </w:tc>
      </w:tr>
      <w:tr>
        <w:tblPrEx>
          <w:tblLayout w:type="fixed"/>
          <w:tblCellMar>
            <w:top w:w="15" w:type="dxa"/>
            <w:left w:w="15" w:type="dxa"/>
            <w:bottom w:w="15" w:type="dxa"/>
            <w:right w:w="15" w:type="dxa"/>
          </w:tblCellMar>
        </w:tblPrEx>
        <w:trPr>
          <w:trHeight w:val="285" w:hRule="atLeast"/>
        </w:trPr>
        <w:tc>
          <w:tcPr>
            <w:tcW w:w="9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087028</w:t>
            </w:r>
          </w:p>
        </w:tc>
        <w:tc>
          <w:tcPr>
            <w:tcW w:w="16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深圳市龙岗区吉华街道基建</w:t>
            </w:r>
          </w:p>
        </w:tc>
        <w:tc>
          <w:tcPr>
            <w:tcW w:w="238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201810810400870010007</w:t>
            </w:r>
          </w:p>
        </w:tc>
        <w:tc>
          <w:tcPr>
            <w:tcW w:w="255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吉华街道2018年征收补偿资金</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color w:val="000000"/>
                <w:sz w:val="20"/>
                <w:szCs w:val="20"/>
              </w:rPr>
              <w:t xml:space="preserve">4,000 </w:t>
            </w:r>
          </w:p>
        </w:tc>
        <w:tc>
          <w:tcPr>
            <w:tcW w:w="11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sz w:val="20"/>
                <w:szCs w:val="20"/>
              </w:rPr>
              <w:t>政府性基金</w:t>
            </w:r>
          </w:p>
        </w:tc>
      </w:tr>
    </w:tbl>
    <w:p>
      <w:pPr>
        <w:spacing w:line="180" w:lineRule="atLeast"/>
        <w:rPr>
          <w:sz w:val="21"/>
          <w:szCs w:val="21"/>
        </w:rPr>
      </w:pPr>
    </w:p>
    <w:p>
      <w:pPr>
        <w:spacing w:line="180" w:lineRule="atLeast"/>
        <w:rPr>
          <w:sz w:val="21"/>
          <w:szCs w:val="21"/>
        </w:rPr>
      </w:pPr>
    </w:p>
    <w:p>
      <w:pPr>
        <w:spacing w:line="180" w:lineRule="atLeast"/>
        <w:rPr>
          <w:sz w:val="21"/>
          <w:szCs w:val="21"/>
        </w:rPr>
      </w:pPr>
    </w:p>
    <w:p>
      <w:pPr>
        <w:spacing w:line="180" w:lineRule="atLeast"/>
        <w:rPr>
          <w:sz w:val="21"/>
          <w:szCs w:val="21"/>
        </w:rPr>
      </w:pPr>
    </w:p>
    <w:p>
      <w:pPr>
        <w:spacing w:line="180" w:lineRule="atLeast"/>
        <w:rPr>
          <w:sz w:val="21"/>
          <w:szCs w:val="21"/>
        </w:rPr>
      </w:pPr>
    </w:p>
    <w:p>
      <w:pPr>
        <w:spacing w:line="180" w:lineRule="atLeast"/>
        <w:rPr>
          <w:sz w:val="21"/>
          <w:szCs w:val="21"/>
        </w:rPr>
      </w:pPr>
    </w:p>
    <w:p>
      <w:pPr>
        <w:spacing w:line="180" w:lineRule="atLeast"/>
        <w:rPr>
          <w:sz w:val="21"/>
          <w:szCs w:val="21"/>
        </w:rPr>
      </w:pPr>
    </w:p>
    <w:p>
      <w:pPr>
        <w:spacing w:line="180" w:lineRule="atLeast"/>
        <w:rPr>
          <w:sz w:val="21"/>
          <w:szCs w:val="21"/>
        </w:rPr>
      </w:pPr>
    </w:p>
    <w:p>
      <w:pPr>
        <w:spacing w:line="180" w:lineRule="atLeast"/>
        <w:rPr>
          <w:sz w:val="21"/>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swiss"/>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multilevel"/>
    <w:tmpl w:val="00000000"/>
    <w:lvl w:ilvl="0" w:tentative="0">
      <w:start w:val="1"/>
      <w:numFmt w:val="japaneseCounting"/>
      <w:lvlText w:val="%1、"/>
      <w:lvlJc w:val="left"/>
      <w:pPr>
        <w:ind w:left="872" w:hanging="450"/>
      </w:pPr>
      <w:rPr>
        <w:rFonts w:hint="default"/>
      </w:rPr>
    </w:lvl>
    <w:lvl w:ilvl="1" w:tentative="0">
      <w:start w:val="1"/>
      <w:numFmt w:val="lowerLetter"/>
      <w:lvlText w:val="%2)"/>
      <w:lvlJc w:val="left"/>
      <w:pPr>
        <w:ind w:left="1262" w:hanging="420"/>
      </w:pPr>
    </w:lvl>
    <w:lvl w:ilvl="2" w:tentative="0">
      <w:start w:val="1"/>
      <w:numFmt w:val="lowerRoman"/>
      <w:lvlText w:val="%3."/>
      <w:lvlJc w:val="right"/>
      <w:pPr>
        <w:ind w:left="1682" w:hanging="420"/>
      </w:pPr>
    </w:lvl>
    <w:lvl w:ilvl="3" w:tentative="0">
      <w:start w:val="1"/>
      <w:numFmt w:val="decimal"/>
      <w:lvlText w:val="%4."/>
      <w:lvlJc w:val="left"/>
      <w:pPr>
        <w:ind w:left="2102" w:hanging="420"/>
      </w:pPr>
    </w:lvl>
    <w:lvl w:ilvl="4" w:tentative="0">
      <w:start w:val="1"/>
      <w:numFmt w:val="lowerLetter"/>
      <w:lvlText w:val="%5)"/>
      <w:lvlJc w:val="left"/>
      <w:pPr>
        <w:ind w:left="2522" w:hanging="420"/>
      </w:pPr>
    </w:lvl>
    <w:lvl w:ilvl="5" w:tentative="0">
      <w:start w:val="1"/>
      <w:numFmt w:val="lowerRoman"/>
      <w:lvlText w:val="%6."/>
      <w:lvlJc w:val="right"/>
      <w:pPr>
        <w:ind w:left="2942" w:hanging="420"/>
      </w:pPr>
    </w:lvl>
    <w:lvl w:ilvl="6" w:tentative="0">
      <w:start w:val="1"/>
      <w:numFmt w:val="decimal"/>
      <w:lvlText w:val="%7."/>
      <w:lvlJc w:val="left"/>
      <w:pPr>
        <w:ind w:left="3362" w:hanging="420"/>
      </w:pPr>
    </w:lvl>
    <w:lvl w:ilvl="7" w:tentative="0">
      <w:start w:val="1"/>
      <w:numFmt w:val="lowerLetter"/>
      <w:lvlText w:val="%8)"/>
      <w:lvlJc w:val="left"/>
      <w:pPr>
        <w:ind w:left="3782" w:hanging="420"/>
      </w:pPr>
    </w:lvl>
    <w:lvl w:ilvl="8" w:tentative="0">
      <w:start w:val="1"/>
      <w:numFmt w:val="lowerRoman"/>
      <w:lvlText w:val="%9."/>
      <w:lvlJc w:val="right"/>
      <w:pPr>
        <w:ind w:left="4202" w:hanging="420"/>
      </w:pPr>
    </w:lvl>
  </w:abstractNum>
  <w:abstractNum w:abstractNumId="1">
    <w:nsid w:val="56711539"/>
    <w:multiLevelType w:val="singleLevel"/>
    <w:tmpl w:val="56711539"/>
    <w:lvl w:ilvl="0" w:tentative="0">
      <w:start w:val="1"/>
      <w:numFmt w:val="chineseCounting"/>
      <w:suff w:val="nothing"/>
      <w:lvlText w:val="%1、"/>
      <w:lvlJc w:val="left"/>
    </w:lvl>
  </w:abstractNum>
  <w:abstractNum w:abstractNumId="2">
    <w:nsid w:val="5A40BF82"/>
    <w:multiLevelType w:val="singleLevel"/>
    <w:tmpl w:val="5A40BF82"/>
    <w:lvl w:ilvl="0" w:tentative="0">
      <w:start w:val="1"/>
      <w:numFmt w:val="chineseCounting"/>
      <w:suff w:val="nothing"/>
      <w:lvlText w:val="%1、"/>
      <w:lvlJc w:val="left"/>
    </w:lvl>
  </w:abstractNum>
  <w:abstractNum w:abstractNumId="3">
    <w:nsid w:val="5A4AF17A"/>
    <w:multiLevelType w:val="singleLevel"/>
    <w:tmpl w:val="5A4AF17A"/>
    <w:lvl w:ilvl="0" w:tentative="0">
      <w:start w:val="1"/>
      <w:numFmt w:val="chineseCounting"/>
      <w:suff w:val="nothing"/>
      <w:lvlText w:val="（%1）"/>
      <w:lvlJc w:val="left"/>
    </w:lvl>
  </w:abstractNum>
  <w:abstractNum w:abstractNumId="4">
    <w:nsid w:val="5C3C40DA"/>
    <w:multiLevelType w:val="singleLevel"/>
    <w:tmpl w:val="5C3C40DA"/>
    <w:lvl w:ilvl="0" w:tentative="0">
      <w:start w:val="10"/>
      <w:numFmt w:val="chineseCounting"/>
      <w:suff w:val="nothing"/>
      <w:lvlText w:val="%1、"/>
      <w:lvlJc w:val="left"/>
    </w:lvl>
  </w:abstractNum>
  <w:abstractNum w:abstractNumId="5">
    <w:nsid w:val="5C418283"/>
    <w:multiLevelType w:val="singleLevel"/>
    <w:tmpl w:val="5C418283"/>
    <w:lvl w:ilvl="0" w:tentative="0">
      <w:start w:val="10"/>
      <w:numFmt w:val="chineseCounting"/>
      <w:suff w:val="nothing"/>
      <w:lvlText w:val="%1、"/>
      <w:lvlJc w:val="left"/>
    </w:lvl>
  </w:abstractNum>
  <w:num w:numId="1">
    <w:abstractNumId w:val="5"/>
  </w:num>
  <w:num w:numId="2">
    <w:abstractNumId w:val="0"/>
  </w:num>
  <w:num w:numId="3">
    <w:abstractNumId w:val="1"/>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30AB2456"/>
    <w:rsid w:val="000428B5"/>
    <w:rsid w:val="00052AF0"/>
    <w:rsid w:val="001644A4"/>
    <w:rsid w:val="001C2486"/>
    <w:rsid w:val="00210345"/>
    <w:rsid w:val="0025198D"/>
    <w:rsid w:val="003330D2"/>
    <w:rsid w:val="00336294"/>
    <w:rsid w:val="003B2B11"/>
    <w:rsid w:val="003E7634"/>
    <w:rsid w:val="00542150"/>
    <w:rsid w:val="0071235E"/>
    <w:rsid w:val="008A23A6"/>
    <w:rsid w:val="008B3D5B"/>
    <w:rsid w:val="00A3653D"/>
    <w:rsid w:val="00A968F3"/>
    <w:rsid w:val="00B04303"/>
    <w:rsid w:val="00B07DE2"/>
    <w:rsid w:val="00C21270"/>
    <w:rsid w:val="00C54C1E"/>
    <w:rsid w:val="00D76353"/>
    <w:rsid w:val="00E13E6F"/>
    <w:rsid w:val="00E84820"/>
    <w:rsid w:val="00EE2078"/>
    <w:rsid w:val="00F14748"/>
    <w:rsid w:val="00F232AA"/>
    <w:rsid w:val="03171A9C"/>
    <w:rsid w:val="07A42BC1"/>
    <w:rsid w:val="09621B06"/>
    <w:rsid w:val="0A9B5507"/>
    <w:rsid w:val="0B3A66A0"/>
    <w:rsid w:val="0D675CBE"/>
    <w:rsid w:val="0ECA6E15"/>
    <w:rsid w:val="11A46643"/>
    <w:rsid w:val="124C0F11"/>
    <w:rsid w:val="126B4BB9"/>
    <w:rsid w:val="13F720DC"/>
    <w:rsid w:val="143577F7"/>
    <w:rsid w:val="15901F86"/>
    <w:rsid w:val="16406AB7"/>
    <w:rsid w:val="197A2A86"/>
    <w:rsid w:val="19EA45BF"/>
    <w:rsid w:val="1AB038EA"/>
    <w:rsid w:val="1D047AEC"/>
    <w:rsid w:val="1D316725"/>
    <w:rsid w:val="1F952CE1"/>
    <w:rsid w:val="1FE33879"/>
    <w:rsid w:val="1FEE64C0"/>
    <w:rsid w:val="1FF73342"/>
    <w:rsid w:val="20414B37"/>
    <w:rsid w:val="205C10D5"/>
    <w:rsid w:val="21F9678C"/>
    <w:rsid w:val="227071AB"/>
    <w:rsid w:val="23CA1CBE"/>
    <w:rsid w:val="25122C75"/>
    <w:rsid w:val="259C7AD1"/>
    <w:rsid w:val="263B3A2C"/>
    <w:rsid w:val="26B21099"/>
    <w:rsid w:val="281E4134"/>
    <w:rsid w:val="293231CC"/>
    <w:rsid w:val="2A6D7C14"/>
    <w:rsid w:val="2CC00F07"/>
    <w:rsid w:val="2DC90CE1"/>
    <w:rsid w:val="2FDD3C28"/>
    <w:rsid w:val="30AB2456"/>
    <w:rsid w:val="326414BE"/>
    <w:rsid w:val="33053B1E"/>
    <w:rsid w:val="341C114A"/>
    <w:rsid w:val="353D15BE"/>
    <w:rsid w:val="35AB2453"/>
    <w:rsid w:val="35D16C52"/>
    <w:rsid w:val="36C215B0"/>
    <w:rsid w:val="37B90006"/>
    <w:rsid w:val="39777938"/>
    <w:rsid w:val="3EFD37AC"/>
    <w:rsid w:val="3F445C9B"/>
    <w:rsid w:val="400F106A"/>
    <w:rsid w:val="40DD75A2"/>
    <w:rsid w:val="4114458B"/>
    <w:rsid w:val="421677F7"/>
    <w:rsid w:val="42570AF9"/>
    <w:rsid w:val="42D362C0"/>
    <w:rsid w:val="433C331D"/>
    <w:rsid w:val="45A03527"/>
    <w:rsid w:val="46117A46"/>
    <w:rsid w:val="4673105A"/>
    <w:rsid w:val="468D2045"/>
    <w:rsid w:val="494F0E55"/>
    <w:rsid w:val="49A204C4"/>
    <w:rsid w:val="4AFF7D72"/>
    <w:rsid w:val="4FAB6009"/>
    <w:rsid w:val="4FFC24BE"/>
    <w:rsid w:val="5096013C"/>
    <w:rsid w:val="51625D67"/>
    <w:rsid w:val="51AC5B37"/>
    <w:rsid w:val="51AD2469"/>
    <w:rsid w:val="51FE41BD"/>
    <w:rsid w:val="554D08D1"/>
    <w:rsid w:val="55914445"/>
    <w:rsid w:val="56692E8A"/>
    <w:rsid w:val="58D15A75"/>
    <w:rsid w:val="59777F42"/>
    <w:rsid w:val="5A8A17AA"/>
    <w:rsid w:val="5BD62C38"/>
    <w:rsid w:val="5C045DC1"/>
    <w:rsid w:val="5C85112D"/>
    <w:rsid w:val="5E013783"/>
    <w:rsid w:val="61676974"/>
    <w:rsid w:val="655312AE"/>
    <w:rsid w:val="65BB086B"/>
    <w:rsid w:val="67EF2E12"/>
    <w:rsid w:val="68451FB1"/>
    <w:rsid w:val="699F5DB4"/>
    <w:rsid w:val="6A856939"/>
    <w:rsid w:val="6C574987"/>
    <w:rsid w:val="6C8C7331"/>
    <w:rsid w:val="6D3A627A"/>
    <w:rsid w:val="6D7968F7"/>
    <w:rsid w:val="6ECF658B"/>
    <w:rsid w:val="6FCD2BB8"/>
    <w:rsid w:val="72FF4AD8"/>
    <w:rsid w:val="73282E00"/>
    <w:rsid w:val="7351609F"/>
    <w:rsid w:val="738D227F"/>
    <w:rsid w:val="74542875"/>
    <w:rsid w:val="75FD5F81"/>
    <w:rsid w:val="790710DC"/>
    <w:rsid w:val="7AD02964"/>
    <w:rsid w:val="7BC62C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360" w:lineRule="auto"/>
      <w:jc w:val="both"/>
    </w:pPr>
    <w:rPr>
      <w:rFonts w:ascii="Times New Roman" w:hAnsi="Times New Roman" w:eastAsia="仿宋_GB2312" w:cs="Times New Roman"/>
      <w:snapToGrid w:val="0"/>
      <w:sz w:val="32"/>
      <w:szCs w:val="32"/>
      <w:lang w:val="en-US" w:eastAsia="zh-CN" w:bidi="ar-SA"/>
    </w:rPr>
  </w:style>
  <w:style w:type="character" w:default="1" w:styleId="6">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9"/>
    <w:uiPriority w:val="0"/>
    <w:pPr>
      <w:tabs>
        <w:tab w:val="center" w:pos="4153"/>
        <w:tab w:val="right" w:pos="8306"/>
      </w:tabs>
      <w:spacing w:line="240" w:lineRule="auto"/>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pacing w:line="240" w:lineRule="auto"/>
      <w:jc w:val="center"/>
    </w:pPr>
    <w:rPr>
      <w:sz w:val="18"/>
      <w:szCs w:val="18"/>
    </w:rPr>
  </w:style>
  <w:style w:type="paragraph" w:styleId="4">
    <w:name w:val="Normal (Web)"/>
    <w:basedOn w:val="1"/>
    <w:qFormat/>
    <w:uiPriority w:val="0"/>
    <w:pPr>
      <w:spacing w:beforeAutospacing="1" w:afterAutospacing="1"/>
      <w:jc w:val="left"/>
    </w:pPr>
    <w:rPr>
      <w:sz w:val="24"/>
    </w:rPr>
  </w:style>
  <w:style w:type="character" w:styleId="7">
    <w:name w:val="Emphasis"/>
    <w:basedOn w:val="6"/>
    <w:qFormat/>
    <w:uiPriority w:val="0"/>
    <w:rPr>
      <w:i/>
    </w:rPr>
  </w:style>
  <w:style w:type="character" w:customStyle="1" w:styleId="8">
    <w:name w:val="页眉 Char"/>
    <w:basedOn w:val="6"/>
    <w:link w:val="3"/>
    <w:qFormat/>
    <w:uiPriority w:val="0"/>
    <w:rPr>
      <w:rFonts w:eastAsia="仿宋_GB2312"/>
      <w:snapToGrid w:val="0"/>
      <w:sz w:val="18"/>
      <w:szCs w:val="18"/>
    </w:rPr>
  </w:style>
  <w:style w:type="character" w:customStyle="1" w:styleId="9">
    <w:name w:val="页脚 Char"/>
    <w:basedOn w:val="6"/>
    <w:link w:val="2"/>
    <w:qFormat/>
    <w:uiPriority w:val="0"/>
    <w:rPr>
      <w:rFonts w:eastAsia="仿宋_GB2312"/>
      <w:snapToGrid w:val="0"/>
      <w:sz w:val="18"/>
      <w:szCs w:val="18"/>
    </w:rPr>
  </w:style>
  <w:style w:type="paragraph" w:customStyle="1" w:styleId="10">
    <w:name w:val="_Style 1"/>
    <w:basedOn w:val="1"/>
    <w:qFormat/>
    <w:uiPriority w:val="0"/>
    <w:pPr>
      <w:ind w:firstLine="420" w:firstLineChars="200"/>
    </w:pPr>
    <w:rPr>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1</Pages>
  <Words>2891</Words>
  <Characters>16485</Characters>
  <Lines>137</Lines>
  <Paragraphs>38</Paragraphs>
  <TotalTime>11</TotalTime>
  <ScaleCrop>false</ScaleCrop>
  <LinksUpToDate>false</LinksUpToDate>
  <CharactersWithSpaces>19338</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2017-12-26T06:53:00Z</dcterms:created>
  <dc:creator>Administrator</dc:creator>
  <cp:lastModifiedBy>余立</cp:lastModifiedBy>
  <dcterms:modified xsi:type="dcterms:W3CDTF">2021-02-24T02:47:34Z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