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ascii="宋体" w:hAnsi="宋体" w:eastAsia="宋体" w:cs="Times New Roman"/>
          <w:sz w:val="40"/>
          <w:szCs w:val="36"/>
        </w:rPr>
      </w:pPr>
    </w:p>
    <w:p>
      <w:pPr>
        <w:spacing w:line="360" w:lineRule="auto"/>
        <w:ind w:left="0" w:leftChars="0" w:firstLine="0" w:firstLineChars="0"/>
        <w:jc w:val="center"/>
        <w:rPr>
          <w:rFonts w:hint="eastAsia" w:ascii="宋体" w:hAnsi="宋体" w:eastAsia="宋体" w:cs="Times New Roman"/>
          <w:sz w:val="40"/>
          <w:szCs w:val="36"/>
        </w:rPr>
      </w:pPr>
    </w:p>
    <w:p>
      <w:pPr>
        <w:spacing w:line="360" w:lineRule="auto"/>
        <w:ind w:left="0" w:leftChars="0" w:firstLine="0" w:firstLineChars="0"/>
        <w:jc w:val="center"/>
        <w:rPr>
          <w:rFonts w:hint="eastAsia" w:ascii="宋体" w:hAnsi="宋体" w:eastAsia="宋体" w:cs="Times New Roman"/>
          <w:sz w:val="40"/>
          <w:szCs w:val="36"/>
        </w:rPr>
      </w:pPr>
    </w:p>
    <w:p>
      <w:pPr>
        <w:spacing w:line="360" w:lineRule="auto"/>
        <w:ind w:left="0" w:leftChars="0" w:firstLine="0" w:firstLineChars="0"/>
        <w:jc w:val="center"/>
        <w:rPr>
          <w:rFonts w:hint="eastAsia" w:ascii="宋体" w:hAnsi="宋体" w:eastAsia="宋体" w:cs="Times New Roman"/>
          <w:sz w:val="44"/>
          <w:szCs w:val="40"/>
          <w:lang w:eastAsia="zh-CN"/>
        </w:rPr>
      </w:pPr>
      <w:r>
        <w:rPr>
          <w:rFonts w:hint="eastAsia" w:ascii="宋体" w:hAnsi="宋体" w:cs="Times New Roman"/>
          <w:sz w:val="44"/>
          <w:szCs w:val="40"/>
          <w:lang w:val="en-US" w:eastAsia="zh-CN"/>
        </w:rPr>
        <w:t>园山</w:t>
      </w:r>
      <w:r>
        <w:rPr>
          <w:rFonts w:hint="eastAsia" w:ascii="宋体" w:hAnsi="宋体" w:eastAsia="宋体" w:cs="Times New Roman"/>
          <w:sz w:val="44"/>
          <w:szCs w:val="40"/>
        </w:rPr>
        <w:t>街道</w:t>
      </w:r>
      <w:r>
        <w:rPr>
          <w:rFonts w:hint="eastAsia" w:ascii="宋体" w:hAnsi="宋体" w:cs="Times New Roman"/>
          <w:sz w:val="44"/>
          <w:szCs w:val="40"/>
          <w:lang w:val="en-US" w:eastAsia="zh-CN"/>
        </w:rPr>
        <w:t>龙屋</w:t>
      </w:r>
      <w:r>
        <w:rPr>
          <w:rFonts w:hint="eastAsia" w:ascii="宋体" w:hAnsi="宋体" w:eastAsia="宋体" w:cs="Times New Roman"/>
          <w:sz w:val="44"/>
          <w:szCs w:val="40"/>
        </w:rPr>
        <w:t>路</w:t>
      </w:r>
      <w:r>
        <w:rPr>
          <w:rFonts w:hint="eastAsia" w:ascii="宋体" w:hAnsi="宋体" w:cs="Times New Roman"/>
          <w:sz w:val="44"/>
          <w:szCs w:val="40"/>
          <w:lang w:eastAsia="zh-CN"/>
        </w:rPr>
        <w:t>（沿河路</w:t>
      </w:r>
      <w:r>
        <w:rPr>
          <w:rFonts w:hint="eastAsia" w:ascii="宋体" w:hAnsi="宋体" w:cs="Times New Roman"/>
          <w:sz w:val="44"/>
          <w:szCs w:val="40"/>
          <w:lang w:val="en-US" w:eastAsia="zh-CN"/>
        </w:rPr>
        <w:t>-山子下路</w:t>
      </w:r>
      <w:r>
        <w:rPr>
          <w:rFonts w:hint="eastAsia" w:ascii="宋体" w:hAnsi="宋体" w:cs="Times New Roman"/>
          <w:sz w:val="44"/>
          <w:szCs w:val="40"/>
          <w:lang w:eastAsia="zh-CN"/>
        </w:rPr>
        <w:t>）</w:t>
      </w:r>
      <w:r>
        <w:rPr>
          <w:rFonts w:hint="eastAsia" w:ascii="宋体" w:hAnsi="宋体" w:eastAsia="宋体" w:cs="Times New Roman"/>
          <w:sz w:val="44"/>
          <w:szCs w:val="40"/>
        </w:rPr>
        <w:t>市政工程防洪编制</w:t>
      </w:r>
      <w:r>
        <w:rPr>
          <w:rFonts w:hint="eastAsia" w:ascii="宋体" w:hAnsi="宋体" w:cs="Times New Roman"/>
          <w:sz w:val="44"/>
          <w:szCs w:val="40"/>
          <w:lang w:val="en-US" w:eastAsia="zh-CN"/>
        </w:rPr>
        <w:t>概要</w:t>
      </w:r>
    </w:p>
    <w:p/>
    <w:p/>
    <w:p/>
    <w:p/>
    <w:p/>
    <w:p/>
    <w:p/>
    <w:p/>
    <w:p/>
    <w:p/>
    <w:p/>
    <w:p/>
    <w:p/>
    <w:p/>
    <w:p/>
    <w:p/>
    <w:p/>
    <w:p/>
    <w:p/>
    <w:p/>
    <w:p/>
    <w:p/>
    <w:p/>
    <w:p/>
    <w:p/>
    <w:p>
      <w:pPr>
        <w:rPr>
          <w:rFonts w:hint="eastAsia" w:ascii="Times New Roman" w:hAnsi="Times New Roman" w:eastAsia="楷体" w:cs="Times New Roman"/>
          <w:b/>
          <w:sz w:val="28"/>
          <w:szCs w:val="28"/>
        </w:rPr>
      </w:pPr>
    </w:p>
    <w:p>
      <w:pPr>
        <w:rPr>
          <w:rFonts w:hint="eastAsia" w:ascii="Times New Roman" w:hAnsi="Times New Roman" w:eastAsia="楷体" w:cs="Times New Roman"/>
          <w:b/>
          <w:sz w:val="28"/>
          <w:szCs w:val="28"/>
        </w:rPr>
      </w:pPr>
      <w:r>
        <w:rPr>
          <w:rFonts w:hint="eastAsia" w:ascii="Times New Roman" w:hAnsi="Times New Roman" w:eastAsia="楷体" w:cs="Times New Roman"/>
          <w:b/>
          <w:sz w:val="28"/>
          <w:szCs w:val="28"/>
        </w:rPr>
        <w:br w:type="page"/>
      </w:r>
    </w:p>
    <w:p>
      <w:pPr>
        <w:numPr>
          <w:ilvl w:val="0"/>
          <w:numId w:val="1"/>
        </w:numPr>
        <w:spacing w:line="560" w:lineRule="exact"/>
        <w:outlineLvl w:val="0"/>
        <w:rPr>
          <w:rFonts w:hint="eastAsia" w:ascii="黑体" w:hAnsi="黑体" w:eastAsia="黑体"/>
          <w:sz w:val="32"/>
          <w:szCs w:val="32"/>
        </w:rPr>
      </w:pPr>
      <w:r>
        <w:rPr>
          <w:rFonts w:hint="eastAsia" w:ascii="黑体" w:hAnsi="黑体" w:eastAsia="黑体"/>
          <w:sz w:val="32"/>
          <w:szCs w:val="32"/>
        </w:rPr>
        <w:t>项目概况</w:t>
      </w:r>
    </w:p>
    <w:p>
      <w:pPr>
        <w:pageBreakBefore w:val="0"/>
        <w:widowControl w:val="0"/>
        <w:kinsoku/>
        <w:wordWrap/>
        <w:overflowPunct/>
        <w:topLinePunct w:val="0"/>
        <w:bidi w:val="0"/>
        <w:snapToGrid/>
        <w:spacing w:line="360" w:lineRule="auto"/>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龙屋路位于深圳市龙岗区园山街道大康社区，</w:t>
      </w:r>
      <w:r>
        <w:rPr>
          <w:rFonts w:hint="eastAsia" w:ascii="Times New Roman" w:hAnsi="Times New Roman" w:cs="Times New Roman"/>
          <w:sz w:val="28"/>
          <w:szCs w:val="28"/>
          <w:lang w:eastAsia="zh-CN"/>
        </w:rPr>
        <w:t>龙屋</w:t>
      </w:r>
      <w:r>
        <w:rPr>
          <w:rFonts w:hint="eastAsia" w:ascii="Times New Roman" w:hAnsi="Times New Roman" w:eastAsia="宋体" w:cs="Times New Roman"/>
          <w:sz w:val="28"/>
          <w:szCs w:val="28"/>
        </w:rPr>
        <w:t>路线位总体总体呈南北走向，北起现状沿河路，南至现状山子下路，道路全长约193m。城市支路，设计车速20km/h，双向二车道，规划用地红线</w:t>
      </w:r>
      <w:r>
        <w:rPr>
          <w:rFonts w:hint="default" w:ascii="Times New Roman" w:hAnsi="Times New Roman" w:eastAsia="宋体" w:cs="Times New Roman"/>
          <w:sz w:val="28"/>
          <w:szCs w:val="28"/>
        </w:rPr>
        <w:t>宽</w:t>
      </w:r>
      <w:r>
        <w:rPr>
          <w:rFonts w:hint="eastAsia" w:ascii="Times New Roman" w:hAnsi="Times New Roman" w:eastAsia="宋体" w:cs="Times New Roman"/>
          <w:sz w:val="28"/>
          <w:szCs w:val="28"/>
        </w:rPr>
        <w:t>15</w:t>
      </w:r>
      <w:r>
        <w:rPr>
          <w:rFonts w:hint="default" w:ascii="Times New Roman" w:hAnsi="Times New Roman" w:eastAsia="宋体" w:cs="Times New Roman"/>
          <w:sz w:val="28"/>
          <w:szCs w:val="28"/>
        </w:rPr>
        <w:t>米</w:t>
      </w:r>
      <w:r>
        <w:rPr>
          <w:rFonts w:hint="eastAsia" w:ascii="Times New Roman" w:hAnsi="Times New Roman" w:eastAsia="宋体" w:cs="Times New Roman"/>
          <w:sz w:val="28"/>
          <w:szCs w:val="28"/>
        </w:rPr>
        <w:t>。</w:t>
      </w:r>
    </w:p>
    <w:p>
      <w:pPr>
        <w:pageBreakBefore w:val="0"/>
        <w:widowControl w:val="0"/>
        <w:kinsoku/>
        <w:wordWrap/>
        <w:overflowPunct/>
        <w:topLinePunct w:val="0"/>
        <w:bidi w:val="0"/>
        <w:snapToGrid/>
        <w:spacing w:line="360" w:lineRule="auto"/>
        <w:jc w:val="center"/>
        <w:textAlignment w:val="auto"/>
        <w:rPr>
          <w:sz w:val="24"/>
        </w:rPr>
      </w:pPr>
      <w:r>
        <w:rPr>
          <w:sz w:val="24"/>
        </w:rPr>
        <w:drawing>
          <wp:inline distT="0" distB="0" distL="114300" distR="114300">
            <wp:extent cx="3291840" cy="2771775"/>
            <wp:effectExtent l="0" t="0" r="0" b="190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4"/>
                    <a:stretch>
                      <a:fillRect/>
                    </a:stretch>
                  </pic:blipFill>
                  <pic:spPr>
                    <a:xfrm>
                      <a:off x="0" y="0"/>
                      <a:ext cx="3291840" cy="27717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lang w:val="en-US"/>
        </w:rPr>
      </w:pPr>
      <w:r>
        <w:rPr>
          <w:rFonts w:hint="eastAsia" w:ascii="Times New Roman" w:hAnsi="Times New Roman" w:cs="Times New Roman"/>
          <w:sz w:val="24"/>
          <w:szCs w:val="24"/>
          <w:lang w:val="en-US" w:eastAsia="zh-CN"/>
        </w:rPr>
        <w:t>图1</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桥梁平面设计图</w:t>
      </w:r>
    </w:p>
    <w:p>
      <w:pPr>
        <w:pageBreakBefore w:val="0"/>
        <w:widowControl w:val="0"/>
        <w:kinsoku/>
        <w:wordWrap/>
        <w:overflowPunct/>
        <w:topLinePunct w:val="0"/>
        <w:bidi w:val="0"/>
        <w:snapToGrid/>
        <w:spacing w:line="360" w:lineRule="auto"/>
        <w:ind w:firstLine="560" w:firstLineChars="20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龙屋路</w:t>
      </w:r>
      <w:r>
        <w:rPr>
          <w:rFonts w:hint="eastAsia" w:ascii="Times New Roman" w:hAnsi="Times New Roman" w:cs="Times New Roman"/>
          <w:sz w:val="28"/>
          <w:szCs w:val="28"/>
          <w:lang w:val="en-US" w:eastAsia="zh-CN"/>
        </w:rPr>
        <w:t>在</w:t>
      </w:r>
      <w:r>
        <w:rPr>
          <w:rFonts w:hint="eastAsia" w:ascii="Times New Roman" w:hAnsi="Times New Roman" w:eastAsia="宋体" w:cs="Times New Roman"/>
          <w:sz w:val="28"/>
          <w:szCs w:val="28"/>
        </w:rPr>
        <w:t>K0+020.985上跨大康河设置跨河桥，</w:t>
      </w:r>
      <w:r>
        <w:rPr>
          <w:rFonts w:hint="eastAsia" w:ascii="Times New Roman" w:hAnsi="Times New Roman" w:cs="Times New Roman"/>
          <w:sz w:val="28"/>
          <w:szCs w:val="28"/>
          <w:lang w:val="en-US" w:eastAsia="zh-CN"/>
        </w:rPr>
        <w:t>涉及大康河河道桩号GL5+106.857至GL5+068.177处。跨河桥</w:t>
      </w:r>
      <w:r>
        <w:rPr>
          <w:rFonts w:hint="eastAsia" w:ascii="Times New Roman" w:hAnsi="Times New Roman" w:eastAsia="宋体" w:cs="Times New Roman"/>
          <w:sz w:val="28"/>
          <w:szCs w:val="28"/>
        </w:rPr>
        <w:t>上部结构采用10m跨预应力砼简支空心板，下部结构桩基础。桥面宽度18.75m，桥梁总面积为247.5㎡。</w:t>
      </w:r>
    </w:p>
    <w:p>
      <w:pPr>
        <w:pageBreakBefore w:val="0"/>
        <w:widowControl w:val="0"/>
        <w:kinsoku/>
        <w:wordWrap/>
        <w:overflowPunct/>
        <w:topLinePunct w:val="0"/>
        <w:bidi w:val="0"/>
        <w:snapToGrid/>
        <w:spacing w:line="360" w:lineRule="auto"/>
        <w:textAlignment w:val="auto"/>
        <w:rPr>
          <w:rFonts w:hint="eastAsia" w:ascii="宋体" w:hAnsi="宋体"/>
          <w:sz w:val="24"/>
        </w:rPr>
      </w:pPr>
      <w:r>
        <w:rPr>
          <w:rFonts w:hint="eastAsia" w:ascii="宋体" w:hAnsi="宋体"/>
          <w:sz w:val="24"/>
        </w:rPr>
        <w:drawing>
          <wp:inline distT="0" distB="0" distL="114300" distR="114300">
            <wp:extent cx="2544445" cy="1908175"/>
            <wp:effectExtent l="0" t="0" r="635" b="12065"/>
            <wp:docPr id="4" name="图片 2" descr="IMG_20210324_17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0210324_170849"/>
                    <pic:cNvPicPr>
                      <a:picLocks noChangeAspect="1"/>
                    </pic:cNvPicPr>
                  </pic:nvPicPr>
                  <pic:blipFill>
                    <a:blip r:embed="rId5"/>
                    <a:stretch>
                      <a:fillRect/>
                    </a:stretch>
                  </pic:blipFill>
                  <pic:spPr>
                    <a:xfrm>
                      <a:off x="0" y="0"/>
                      <a:ext cx="2544445" cy="1908175"/>
                    </a:xfrm>
                    <a:prstGeom prst="rect">
                      <a:avLst/>
                    </a:prstGeom>
                    <a:noFill/>
                    <a:ln>
                      <a:noFill/>
                    </a:ln>
                  </pic:spPr>
                </pic:pic>
              </a:graphicData>
            </a:graphic>
          </wp:inline>
        </w:drawing>
      </w:r>
      <w:r>
        <w:rPr>
          <w:rFonts w:hint="eastAsia" w:ascii="宋体" w:hAnsi="宋体"/>
          <w:sz w:val="24"/>
          <w:lang w:val="en-US" w:eastAsia="zh-CN"/>
        </w:rPr>
        <w:t xml:space="preserve">  </w:t>
      </w:r>
      <w:r>
        <w:rPr>
          <w:rFonts w:hint="eastAsia" w:ascii="宋体" w:hAnsi="宋体"/>
          <w:sz w:val="24"/>
        </w:rPr>
        <w:drawing>
          <wp:inline distT="0" distB="0" distL="114300" distR="114300">
            <wp:extent cx="2513965" cy="1908175"/>
            <wp:effectExtent l="0" t="0" r="635" b="12065"/>
            <wp:docPr id="5" name="图片 3" descr="IMG_20210324_170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0210324_170855"/>
                    <pic:cNvPicPr>
                      <a:picLocks noChangeAspect="1"/>
                    </pic:cNvPicPr>
                  </pic:nvPicPr>
                  <pic:blipFill>
                    <a:blip r:embed="rId6"/>
                    <a:stretch>
                      <a:fillRect/>
                    </a:stretch>
                  </pic:blipFill>
                  <pic:spPr>
                    <a:xfrm>
                      <a:off x="0" y="0"/>
                      <a:ext cx="2513965" cy="19081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图2</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涉河处河道现状</w:t>
      </w:r>
    </w:p>
    <w:p>
      <w:pPr>
        <w:pageBreakBefore w:val="0"/>
        <w:widowControl w:val="0"/>
        <w:kinsoku/>
        <w:wordWrap/>
        <w:overflowPunct/>
        <w:topLinePunct w:val="0"/>
        <w:bidi w:val="0"/>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涉河管线主要有燃气管DN200（L=22m）、给水管DN300（L=22m）、通信管12PVCФ110、电力管BWFRP-16Ф150、电力电缆沟1.0m×1.0m。</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黑体" w:hAnsi="黑体" w:eastAsia="黑体"/>
          <w:sz w:val="32"/>
          <w:szCs w:val="32"/>
          <w:lang w:val="en-US" w:eastAsia="zh-CN"/>
        </w:rPr>
      </w:pPr>
      <w:r>
        <w:rPr>
          <w:rFonts w:hint="eastAsia" w:ascii="黑体" w:hAnsi="黑体" w:eastAsia="黑体"/>
          <w:sz w:val="32"/>
          <w:szCs w:val="32"/>
        </w:rPr>
        <w:t>项目</w:t>
      </w:r>
      <w:r>
        <w:rPr>
          <w:rFonts w:hint="eastAsia" w:ascii="黑体" w:hAnsi="黑体" w:eastAsia="黑体"/>
          <w:sz w:val="32"/>
          <w:szCs w:val="32"/>
          <w:lang w:val="en-US" w:eastAsia="zh-CN"/>
        </w:rPr>
        <w:t>工作内容</w:t>
      </w:r>
    </w:p>
    <w:p>
      <w:pPr>
        <w:numPr>
          <w:ilvl w:val="0"/>
          <w:numId w:val="2"/>
        </w:num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编写防洪（安全）评价报告</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评价报告内容含不仅限于以下内容。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（1）防洪评价报告应包括：概述、基本情况、河道演变。防洪评价计算、防洪综合评价、防治与补救措施小节。</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）结合相关规划，评价“拟建项目”实施后对涉及河道（水库）相关规划实施的影响；</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）评价“拟建项目”对河道行洪的影响；</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 xml:space="preserve">）评价“拟建项目”对河势稳定的影响； </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）评价“拟建项目”对水务工程堤防、护岸、大坝和其它水利工程及设施的安全影响分析；</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）评价“拟建项目”对现状水务工程防汛抢险的影响；</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7</w:t>
      </w:r>
      <w:r>
        <w:rPr>
          <w:rFonts w:hint="eastAsia" w:ascii="宋体" w:hAnsi="宋体" w:eastAsia="宋体" w:cs="宋体"/>
          <w:color w:val="000000"/>
          <w:kern w:val="0"/>
          <w:sz w:val="28"/>
          <w:szCs w:val="28"/>
          <w:lang w:val="en-US" w:eastAsia="zh-CN" w:bidi="ar"/>
        </w:rPr>
        <w:t>）评价“拟建项目”对今后水务工程管养的影响；</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8</w:t>
      </w:r>
      <w:r>
        <w:rPr>
          <w:rFonts w:hint="eastAsia" w:ascii="宋体" w:hAnsi="宋体" w:eastAsia="宋体" w:cs="宋体"/>
          <w:color w:val="000000"/>
          <w:kern w:val="0"/>
          <w:sz w:val="28"/>
          <w:szCs w:val="28"/>
          <w:lang w:val="en-US" w:eastAsia="zh-CN" w:bidi="ar"/>
        </w:rPr>
        <w:t>）对“拟建项目”方案的不足之处提出优化措施建议，提出相关减免影响的防治和补救措施建议；</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9</w:t>
      </w:r>
      <w:r>
        <w:rPr>
          <w:rFonts w:hint="eastAsia" w:ascii="宋体" w:hAnsi="宋体" w:eastAsia="宋体" w:cs="宋体"/>
          <w:color w:val="000000"/>
          <w:kern w:val="0"/>
          <w:sz w:val="28"/>
          <w:szCs w:val="28"/>
          <w:lang w:val="en-US" w:eastAsia="zh-CN" w:bidi="ar"/>
        </w:rPr>
        <w:t>）结论与建议。</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、参加评价报告评审会和中间成果汇报会。</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、根据专家评审意见修改、补充及完善评价方案。</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、提交防洪评价报告书成果文件。</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、与相关政府部门以及管理部门就本项目评价审查、评估和专业咨询等工作进行联系和协调。</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、与设计等单位就本项目评价报告进行沟通，协助设计单位工作，并达成一致意见。</w:t>
      </w:r>
    </w:p>
    <w:p>
      <w:pPr>
        <w:spacing w:line="560" w:lineRule="exact"/>
        <w:ind w:firstLine="560" w:firstLineChars="200"/>
        <w:rPr>
          <w:rFonts w:hint="default" w:ascii="黑体" w:hAnsi="黑体" w:eastAsia="黑体"/>
          <w:sz w:val="32"/>
          <w:szCs w:val="32"/>
          <w:lang w:val="en-US" w:eastAsia="zh-CN"/>
        </w:rPr>
      </w:pPr>
      <w:r>
        <w:rPr>
          <w:rFonts w:hint="eastAsia" w:ascii="宋体" w:hAnsi="宋体" w:cs="宋体"/>
          <w:color w:val="000000"/>
          <w:kern w:val="0"/>
          <w:sz w:val="28"/>
          <w:szCs w:val="28"/>
          <w:lang w:val="en-US" w:eastAsia="zh-CN" w:bidi="ar"/>
        </w:rPr>
        <w:t>7</w:t>
      </w:r>
      <w:r>
        <w:rPr>
          <w:rFonts w:hint="eastAsia" w:ascii="宋体" w:hAnsi="宋体" w:eastAsia="宋体" w:cs="宋体"/>
          <w:color w:val="000000"/>
          <w:kern w:val="0"/>
          <w:sz w:val="28"/>
          <w:szCs w:val="28"/>
          <w:lang w:val="en-US" w:eastAsia="zh-CN" w:bidi="ar"/>
        </w:rPr>
        <w:t>、协助甲方办理建设项目审批等相关手续。</w:t>
      </w:r>
    </w:p>
    <w:p>
      <w:pPr>
        <w:spacing w:line="560" w:lineRule="exact"/>
        <w:outlineLvl w:val="0"/>
        <w:rPr>
          <w:rFonts w:hint="eastAsia" w:ascii="黑体" w:hAnsi="黑体" w:eastAsia="黑体"/>
          <w:sz w:val="32"/>
          <w:szCs w:val="32"/>
          <w:lang w:val="en-US" w:eastAsia="zh-CN"/>
        </w:rPr>
      </w:pPr>
      <w:r>
        <w:rPr>
          <w:rFonts w:hint="eastAsia" w:ascii="黑体" w:hAnsi="黑体" w:eastAsia="黑体"/>
          <w:sz w:val="32"/>
          <w:szCs w:val="32"/>
          <w:lang w:val="en-US" w:eastAsia="zh-CN"/>
        </w:rPr>
        <w:t>三、项目其他要求</w:t>
      </w:r>
    </w:p>
    <w:p>
      <w:pPr>
        <w:spacing w:line="56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除报政府主管部门审批的数量外，再提供经审核的纸质文件</w:t>
      </w:r>
      <w:r>
        <w:rPr>
          <w:rFonts w:hint="eastAsia" w:ascii="宋体" w:hAnsi="宋体" w:cs="宋体"/>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份，电子文件</w:t>
      </w:r>
      <w:r>
        <w:rPr>
          <w:rFonts w:hint="eastAsia" w:ascii="宋体" w:hAnsi="宋体" w:cs="宋体"/>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份。</w:t>
      </w:r>
    </w:p>
    <w:p>
      <w:pPr>
        <w:spacing w:line="560" w:lineRule="exact"/>
        <w:outlineLvl w:val="0"/>
        <w:rPr>
          <w:rFonts w:hint="default" w:ascii="黑体" w:hAnsi="黑体" w:eastAsia="黑体"/>
          <w:sz w:val="32"/>
          <w:szCs w:val="32"/>
          <w:lang w:val="en-US" w:eastAsia="zh-CN"/>
        </w:rPr>
      </w:pPr>
      <w:r>
        <w:rPr>
          <w:rFonts w:hint="eastAsia" w:ascii="黑体" w:hAnsi="黑体" w:eastAsia="黑体"/>
          <w:sz w:val="32"/>
          <w:szCs w:val="32"/>
        </w:rPr>
        <w:t>四、</w:t>
      </w:r>
      <w:r>
        <w:rPr>
          <w:rFonts w:hint="eastAsia" w:ascii="黑体" w:hAnsi="黑体" w:eastAsia="黑体"/>
          <w:sz w:val="32"/>
          <w:szCs w:val="32"/>
          <w:lang w:val="en-US" w:eastAsia="zh-CN"/>
        </w:rPr>
        <w:t>项目重难点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（1）龙屋路市政工程位于大康河河道管理范围线内，在道路桩号K0+020.985处设置跨河桥，涉及河道桩号GL5+106.857至GL5+068.177处。</w:t>
      </w:r>
      <w:r>
        <w:rPr>
          <w:rFonts w:hint="eastAsia" w:ascii="宋体" w:hAnsi="宋体" w:cs="宋体"/>
          <w:color w:val="000000"/>
          <w:kern w:val="0"/>
          <w:sz w:val="28"/>
          <w:szCs w:val="28"/>
          <w:lang w:val="en-US" w:eastAsia="zh-CN" w:bidi="ar"/>
        </w:rPr>
        <w:t>从项目涉河段平面图中看出，新建跨河桥桩部分位于河道内侧，占用河道过流面积，会降低河道原有防洪标准，造成一定程度的壅水。《涉河建设项目防洪评价和管理技术规范》中提到不宜在河道行洪断面内设置建（构）筑物，确需布置的，应采用拓宽有效行洪断面的方式补偿所占用的河道断面，避免水位壅高。不应采用硬化局部河段断面、降低局部河段糙率或加高堤岸的方式来补偿河道行洪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（2）</w:t>
      </w:r>
      <w:r>
        <w:rPr>
          <w:rFonts w:hint="eastAsia" w:ascii="宋体" w:hAnsi="宋体" w:cs="宋体"/>
          <w:color w:val="000000"/>
          <w:kern w:val="0"/>
          <w:sz w:val="28"/>
          <w:szCs w:val="28"/>
          <w:lang w:val="en-US" w:eastAsia="zh-CN" w:bidi="ar"/>
        </w:rPr>
        <w:t>根据桥型布置图A-A剖面及河道横断面图看出新建跨河桥桩部分于现有河道沿河截污管及河岸线重合，占用防汛抢险通道，影响河道和堤防的安全稳定和管理维护工作的开展。《涉河建设项目防洪评价和管理技术规范》中提到对于立交桥梁，桥墩不应布置在堤防、护岸、巡河道路以及水环境改善设施等水工程设施结构断面内；桥墩等建（构）筑物与水工程设施外轮廓线的水平净距应符合相关技术标准且宜大于</w:t>
      </w:r>
      <w:r>
        <w:rPr>
          <w:rFonts w:hint="default" w:ascii="宋体" w:hAnsi="宋体" w:cs="宋体"/>
          <w:color w:val="000000"/>
          <w:kern w:val="0"/>
          <w:sz w:val="28"/>
          <w:szCs w:val="28"/>
          <w:lang w:val="en-US" w:eastAsia="zh-CN" w:bidi="ar"/>
        </w:rPr>
        <w:t>2.5m</w:t>
      </w:r>
      <w:r>
        <w:rPr>
          <w:rFonts w:hint="eastAsia" w:ascii="宋体" w:hAnsi="宋体" w:cs="宋体"/>
          <w:color w:val="000000"/>
          <w:kern w:val="0"/>
          <w:sz w:val="28"/>
          <w:szCs w:val="28"/>
          <w:lang w:val="en-US" w:eastAsia="zh-CN" w:bidi="ar"/>
        </w:rPr>
        <w:t>，建议进一步优化桥型设计方案。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楷体" w:cs="Times New Roman"/>
          <w:b/>
          <w:sz w:val="28"/>
          <w:szCs w:val="28"/>
          <w:lang w:val="en-US" w:eastAsia="zh-CN"/>
        </w:rPr>
      </w:pPr>
      <w:r>
        <w:rPr>
          <w:rFonts w:hint="default" w:ascii="Times New Roman" w:hAnsi="Times New Roman" w:eastAsia="宋体" w:cs="Times New Roman"/>
          <w:color w:val="000000"/>
          <w:kern w:val="0"/>
          <w:sz w:val="28"/>
          <w:szCs w:val="28"/>
          <w:lang w:val="en-US" w:eastAsia="zh-CN" w:bidi="ar"/>
        </w:rPr>
        <w:t>（</w:t>
      </w:r>
      <w:r>
        <w:rPr>
          <w:rFonts w:hint="eastAsia" w:ascii="Times New Roman" w:hAnsi="Times New Roman" w:cs="Times New Roman"/>
          <w:color w:val="000000"/>
          <w:kern w:val="0"/>
          <w:sz w:val="28"/>
          <w:szCs w:val="28"/>
          <w:lang w:val="en-US" w:eastAsia="zh-CN" w:bidi="ar"/>
        </w:rPr>
        <w:t>3</w:t>
      </w:r>
      <w:r>
        <w:rPr>
          <w:rFonts w:hint="default" w:ascii="Times New Roman" w:hAnsi="Times New Roman" w:eastAsia="宋体" w:cs="Times New Roman"/>
          <w:color w:val="000000"/>
          <w:kern w:val="0"/>
          <w:sz w:val="28"/>
          <w:szCs w:val="28"/>
          <w:lang w:val="en-US" w:eastAsia="zh-CN" w:bidi="ar"/>
        </w:rPr>
        <w:t>）涉河管线较多主要有燃气管DN200（L=22m）、给水管DN300（L=22m）、通信管12PVCФ110、电力管BWFRP-16Ф150、电力电缆沟1.0m×1.0m。</w:t>
      </w:r>
      <w:r>
        <w:rPr>
          <w:rFonts w:hint="eastAsia" w:ascii="Times New Roman" w:hAnsi="Times New Roman" w:eastAsia="宋体" w:cs="Times New Roman"/>
          <w:color w:val="000000"/>
          <w:kern w:val="0"/>
          <w:sz w:val="28"/>
          <w:szCs w:val="28"/>
          <w:lang w:val="en-US" w:eastAsia="zh-CN" w:bidi="ar"/>
        </w:rPr>
        <w:t>《涉河建设项目防洪评价和管理技术规范》中提到电力电缆不应沿河道方向敷设在河道管理范围内，确因客观原因需要敷设时，须开展安全性论证。直埋敷设的电缆严禁位于地下管道的正上方或下方</w:t>
      </w:r>
      <w:r>
        <w:rPr>
          <w:rFonts w:hint="eastAsia" w:ascii="Times New Roman" w:hAnsi="Times New Roman" w:cs="Times New Roman"/>
          <w:color w:val="000000"/>
          <w:kern w:val="0"/>
          <w:sz w:val="28"/>
          <w:szCs w:val="28"/>
          <w:lang w:val="en-US" w:eastAsia="zh-CN" w:bidi="ar"/>
        </w:rPr>
        <w:t>；</w:t>
      </w:r>
      <w:r>
        <w:rPr>
          <w:rFonts w:hint="eastAsia" w:ascii="Times New Roman" w:hAnsi="Times New Roman" w:eastAsia="宋体" w:cs="Times New Roman"/>
          <w:color w:val="000000"/>
          <w:kern w:val="0"/>
          <w:sz w:val="28"/>
          <w:szCs w:val="28"/>
          <w:lang w:val="en-US" w:eastAsia="zh-CN" w:bidi="ar"/>
        </w:rPr>
        <w:t>通信管线不应敷设在河道行洪断面内以及堤岸结构断面内，且不宜长距离敷设在河道管理范围内</w:t>
      </w:r>
      <w:r>
        <w:rPr>
          <w:rFonts w:hint="eastAsia" w:ascii="Times New Roman" w:hAnsi="Times New Roman" w:cs="Times New Roman"/>
          <w:color w:val="000000"/>
          <w:kern w:val="0"/>
          <w:sz w:val="28"/>
          <w:szCs w:val="28"/>
          <w:lang w:val="en-US" w:eastAsia="zh-CN" w:bidi="ar"/>
        </w:rPr>
        <w:t>，建议对涉河管线布置进行优化</w:t>
      </w:r>
      <w:r>
        <w:rPr>
          <w:rFonts w:hint="eastAsia" w:ascii="Times New Roman" w:hAnsi="Times New Roman" w:eastAsia="宋体" w:cs="Times New Roman"/>
          <w:color w:val="000000"/>
          <w:kern w:val="0"/>
          <w:sz w:val="28"/>
          <w:szCs w:val="28"/>
          <w:lang w:val="en-US" w:eastAsia="zh-CN" w:bidi="ar"/>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61D424"/>
    <w:multiLevelType w:val="singleLevel"/>
    <w:tmpl w:val="C561D424"/>
    <w:lvl w:ilvl="0" w:tentative="0">
      <w:start w:val="1"/>
      <w:numFmt w:val="decimal"/>
      <w:suff w:val="nothing"/>
      <w:lvlText w:val="%1、"/>
      <w:lvlJc w:val="left"/>
    </w:lvl>
  </w:abstractNum>
  <w:abstractNum w:abstractNumId="1">
    <w:nsid w:val="6F28649D"/>
    <w:multiLevelType w:val="singleLevel"/>
    <w:tmpl w:val="6F28649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F0560"/>
    <w:rsid w:val="126E0BDD"/>
    <w:rsid w:val="213658C7"/>
    <w:rsid w:val="24944CC0"/>
    <w:rsid w:val="29160395"/>
    <w:rsid w:val="2DC121E7"/>
    <w:rsid w:val="3AFC4DE8"/>
    <w:rsid w:val="41134345"/>
    <w:rsid w:val="44124ACE"/>
    <w:rsid w:val="554E31D7"/>
    <w:rsid w:val="55CF0436"/>
    <w:rsid w:val="5B446A84"/>
    <w:rsid w:val="648D3463"/>
    <w:rsid w:val="6C4D4B36"/>
    <w:rsid w:val="72A03502"/>
    <w:rsid w:val="74E30BEE"/>
    <w:rsid w:val="7F14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2021-09-09T03:37:00Z</dcterms:created>
  <dc:creator>Ghy2021</dc:creator>
  <cp:lastModifiedBy>阳光</cp:lastModifiedBy>
  <dcterms:modified xsi:type="dcterms:W3CDTF">2021-09-27T10:35:57Z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4CAAA605F2B24482ADCA55D307A06C65</vt:lpwstr>
  </property>
</Properties>
</file>