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hAnsi="宋体" w:cs="宋体"/>
          <w:b/>
          <w:bCs/>
          <w:color w:val="auto"/>
          <w:sz w:val="44"/>
          <w:szCs w:val="44"/>
        </w:rPr>
      </w:pPr>
      <w:r>
        <w:rPr>
          <w:rFonts w:ascii="宋体" w:hAnsi="宋体" w:cs="宋体"/>
          <w:b/>
          <w:bCs/>
          <w:color w:val="auto"/>
          <w:sz w:val="44"/>
          <w:szCs w:val="44"/>
        </w:rPr>
        <w:t>万科公园</w:t>
      </w:r>
      <w:r>
        <w:rPr>
          <w:rFonts w:hint="eastAsia" w:ascii="宋体" w:hAnsi="宋体" w:cs="宋体"/>
          <w:b/>
          <w:bCs/>
          <w:color w:val="auto"/>
          <w:sz w:val="44"/>
          <w:szCs w:val="44"/>
        </w:rPr>
        <w:t>里花园三期</w:t>
      </w:r>
      <w:bookmarkStart w:id="0" w:name="_GoBack"/>
      <w:bookmarkEnd w:id="0"/>
      <w:r>
        <w:rPr>
          <w:rFonts w:hint="eastAsia" w:ascii="宋体" w:hAnsi="宋体" w:cs="宋体"/>
          <w:b/>
          <w:bCs/>
          <w:color w:val="auto"/>
          <w:sz w:val="44"/>
          <w:szCs w:val="44"/>
        </w:rPr>
        <w:t>公共租赁住房</w:t>
      </w:r>
    </w:p>
    <w:p>
      <w:pPr>
        <w:spacing w:line="560" w:lineRule="exact"/>
        <w:jc w:val="center"/>
        <w:rPr>
          <w:rFonts w:ascii="宋体" w:hAnsi="宋体" w:cs="宋体"/>
          <w:b/>
          <w:bCs/>
          <w:color w:val="auto"/>
          <w:sz w:val="44"/>
          <w:szCs w:val="44"/>
        </w:rPr>
      </w:pPr>
      <w:r>
        <w:rPr>
          <w:rFonts w:hint="eastAsia" w:ascii="宋体" w:hAnsi="宋体" w:cs="宋体"/>
          <w:b/>
          <w:bCs/>
          <w:color w:val="auto"/>
          <w:sz w:val="44"/>
          <w:szCs w:val="44"/>
        </w:rPr>
        <w:t>有关温馨提示</w:t>
      </w:r>
    </w:p>
    <w:p>
      <w:pPr>
        <w:spacing w:line="560" w:lineRule="exact"/>
        <w:rPr>
          <w:rFonts w:ascii="仿宋" w:hAnsi="仿宋" w:cs="仿宋"/>
          <w:color w:val="auto"/>
          <w:sz w:val="32"/>
          <w:szCs w:val="32"/>
        </w:rPr>
      </w:pPr>
    </w:p>
    <w:p>
      <w:pPr>
        <w:spacing w:line="560" w:lineRule="exac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各认租家庭：</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为方便您选择房源，现就</w:t>
      </w:r>
      <w:r>
        <w:rPr>
          <w:rFonts w:ascii="仿宋_GB2312" w:hAnsi="仿宋_GB2312" w:eastAsia="仿宋_GB2312" w:cs="仿宋_GB2312"/>
          <w:color w:val="auto"/>
          <w:sz w:val="32"/>
          <w:szCs w:val="32"/>
        </w:rPr>
        <w:t>万科公园里</w:t>
      </w:r>
      <w:r>
        <w:rPr>
          <w:rFonts w:hint="eastAsia" w:ascii="仿宋_GB2312" w:hAnsi="仿宋_GB2312" w:eastAsia="仿宋_GB2312" w:cs="仿宋_GB2312"/>
          <w:color w:val="auto"/>
          <w:sz w:val="32"/>
          <w:szCs w:val="32"/>
        </w:rPr>
        <w:t>花园公共租赁住房（以下简称“本项目”）相关情况，提示如下：</w:t>
      </w:r>
    </w:p>
    <w:p>
      <w:pPr>
        <w:spacing w:line="560" w:lineRule="exact"/>
        <w:ind w:firstLine="640" w:firstLineChars="200"/>
        <w:outlineLvl w:val="0"/>
        <w:rPr>
          <w:rFonts w:ascii="黑体" w:hAnsi="黑体" w:eastAsia="黑体" w:cs="黑体"/>
          <w:color w:val="auto"/>
          <w:sz w:val="32"/>
          <w:szCs w:val="32"/>
        </w:rPr>
      </w:pPr>
      <w:r>
        <w:rPr>
          <w:rFonts w:hint="eastAsia" w:ascii="黑体" w:hAnsi="黑体" w:eastAsia="黑体" w:cs="黑体"/>
          <w:color w:val="auto"/>
          <w:sz w:val="32"/>
          <w:szCs w:val="32"/>
        </w:rPr>
        <w:t>一、关于地理位置</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本项目位于深圳市龙岗区南湾街道</w:t>
      </w:r>
      <w:r>
        <w:rPr>
          <w:rFonts w:ascii="仿宋_GB2312" w:hAnsi="仿宋_GB2312" w:eastAsia="仿宋_GB2312" w:cs="仿宋_GB2312"/>
          <w:color w:val="auto"/>
          <w:sz w:val="32"/>
          <w:szCs w:val="32"/>
        </w:rPr>
        <w:t>樟树布万科公园里</w:t>
      </w:r>
      <w:r>
        <w:rPr>
          <w:rFonts w:hint="eastAsia" w:ascii="仿宋_GB2312" w:hAnsi="仿宋_GB2312" w:eastAsia="仿宋_GB2312" w:cs="仿宋_GB2312"/>
          <w:color w:val="auto"/>
          <w:sz w:val="32"/>
          <w:szCs w:val="32"/>
        </w:rPr>
        <w:t>花园。</w:t>
      </w:r>
    </w:p>
    <w:p>
      <w:pPr>
        <w:spacing w:line="560" w:lineRule="exact"/>
        <w:ind w:firstLine="640" w:firstLineChars="200"/>
        <w:outlineLvl w:val="0"/>
        <w:rPr>
          <w:rFonts w:ascii="黑体" w:hAnsi="黑体" w:eastAsia="黑体" w:cs="黑体"/>
          <w:color w:val="auto"/>
          <w:sz w:val="32"/>
          <w:szCs w:val="32"/>
        </w:rPr>
      </w:pPr>
      <w:r>
        <w:rPr>
          <w:rFonts w:hint="eastAsia" w:ascii="黑体" w:hAnsi="黑体" w:eastAsia="黑体" w:cs="黑体"/>
          <w:color w:val="auto"/>
          <w:sz w:val="32"/>
          <w:szCs w:val="32"/>
        </w:rPr>
        <w:t>二、关于周边环境</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本项目东临沙湾路，南布沙路，西临龙岗大道，北临丹平快速。</w:t>
      </w:r>
    </w:p>
    <w:p>
      <w:pPr>
        <w:spacing w:line="560" w:lineRule="exact"/>
        <w:ind w:firstLine="640" w:firstLineChars="200"/>
        <w:outlineLvl w:val="0"/>
        <w:rPr>
          <w:rFonts w:ascii="黑体" w:hAnsi="黑体" w:eastAsia="黑体" w:cs="黑体"/>
          <w:color w:val="auto"/>
          <w:sz w:val="32"/>
          <w:szCs w:val="32"/>
        </w:rPr>
      </w:pPr>
      <w:r>
        <w:rPr>
          <w:rFonts w:hint="eastAsia" w:ascii="黑体" w:hAnsi="黑体" w:eastAsia="黑体" w:cs="黑体"/>
          <w:color w:val="auto"/>
          <w:sz w:val="32"/>
          <w:szCs w:val="32"/>
        </w:rPr>
        <w:t>三、关于周边交通</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本项目距离地铁3号线</w:t>
      </w:r>
      <w:r>
        <w:rPr>
          <w:rFonts w:ascii="仿宋_GB2312" w:hAnsi="仿宋_GB2312" w:eastAsia="仿宋_GB2312" w:cs="仿宋_GB2312"/>
          <w:color w:val="auto"/>
          <w:sz w:val="32"/>
          <w:szCs w:val="32"/>
        </w:rPr>
        <w:t>木棉湾</w:t>
      </w:r>
      <w:r>
        <w:rPr>
          <w:rFonts w:hint="eastAsia" w:ascii="仿宋_GB2312" w:hAnsi="仿宋_GB2312" w:eastAsia="仿宋_GB2312" w:cs="仿宋_GB2312"/>
          <w:color w:val="auto"/>
          <w:sz w:val="32"/>
          <w:szCs w:val="32"/>
        </w:rPr>
        <w:t>地铁站约2.</w:t>
      </w:r>
      <w:r>
        <w:rPr>
          <w:rFonts w:ascii="仿宋_GB2312" w:hAnsi="仿宋_GB2312" w:eastAsia="仿宋_GB2312" w:cs="仿宋_GB2312"/>
          <w:color w:val="auto"/>
          <w:sz w:val="32"/>
          <w:szCs w:val="32"/>
        </w:rPr>
        <w:t>7</w:t>
      </w:r>
      <w:r>
        <w:rPr>
          <w:rFonts w:hint="eastAsia" w:ascii="仿宋_GB2312" w:hAnsi="仿宋_GB2312" w:eastAsia="仿宋_GB2312" w:cs="仿宋_GB2312"/>
          <w:color w:val="auto"/>
          <w:sz w:val="32"/>
          <w:szCs w:val="32"/>
        </w:rPr>
        <w:t>公里，</w:t>
      </w:r>
      <w:r>
        <w:rPr>
          <w:rFonts w:ascii="仿宋_GB2312" w:hAnsi="仿宋_GB2312" w:eastAsia="仿宋_GB2312" w:cs="仿宋_GB2312"/>
          <w:color w:val="auto"/>
          <w:sz w:val="32"/>
          <w:szCs w:val="32"/>
        </w:rPr>
        <w:t>樟树布</w:t>
      </w:r>
      <w:r>
        <w:rPr>
          <w:rFonts w:hint="eastAsia" w:ascii="仿宋_GB2312" w:hAnsi="仿宋_GB2312" w:eastAsia="仿宋_GB2312" w:cs="仿宋_GB2312"/>
          <w:color w:val="auto"/>
          <w:sz w:val="32"/>
          <w:szCs w:val="32"/>
        </w:rPr>
        <w:t>公交站</w:t>
      </w:r>
      <w:r>
        <w:rPr>
          <w:rFonts w:ascii="仿宋_GB2312" w:hAnsi="仿宋_GB2312" w:eastAsia="仿宋_GB2312" w:cs="仿宋_GB2312"/>
          <w:color w:val="auto"/>
          <w:sz w:val="32"/>
          <w:szCs w:val="32"/>
        </w:rPr>
        <w:t>5</w:t>
      </w:r>
      <w:r>
        <w:rPr>
          <w:rFonts w:hint="eastAsia" w:ascii="仿宋_GB2312" w:hAnsi="仿宋_GB2312" w:eastAsia="仿宋_GB2312" w:cs="仿宋_GB2312"/>
          <w:color w:val="auto"/>
          <w:sz w:val="32"/>
          <w:szCs w:val="32"/>
        </w:rPr>
        <w:t>00米。途径各站点的公交线路信息可登录深圳市交通运输委员会官方网站查询。</w:t>
      </w:r>
    </w:p>
    <w:p>
      <w:pPr>
        <w:spacing w:line="560" w:lineRule="exact"/>
        <w:ind w:firstLine="640" w:firstLineChars="200"/>
        <w:outlineLvl w:val="0"/>
        <w:rPr>
          <w:rFonts w:ascii="黑体" w:hAnsi="黑体" w:eastAsia="黑体" w:cs="黑体"/>
          <w:color w:val="auto"/>
          <w:sz w:val="32"/>
          <w:szCs w:val="32"/>
        </w:rPr>
      </w:pPr>
      <w:r>
        <w:rPr>
          <w:rFonts w:hint="eastAsia" w:ascii="黑体" w:hAnsi="黑体" w:eastAsia="黑体" w:cs="黑体"/>
          <w:color w:val="auto"/>
          <w:sz w:val="32"/>
          <w:szCs w:val="32"/>
        </w:rPr>
        <w:t>四、关于教育学位</w:t>
      </w:r>
    </w:p>
    <w:p>
      <w:pPr>
        <w:snapToGrid/>
        <w:spacing w:before="0" w:beforeAutospacing="0" w:after="0" w:afterAutospacing="0" w:line="560" w:lineRule="exact"/>
        <w:ind w:firstLine="640" w:firstLineChars="200"/>
        <w:jc w:val="both"/>
        <w:textAlignment w:val="baseline"/>
        <w:rPr>
          <w:rFonts w:hint="eastAsia" w:ascii="仿宋_GB2312" w:hAnsi="仿宋_GB2312" w:eastAsia="仿宋_GB2312" w:cs="仿宋_GB2312"/>
          <w:b w:val="0"/>
          <w:i w:val="0"/>
          <w:caps w:val="0"/>
          <w:color w:val="auto"/>
          <w:spacing w:val="0"/>
          <w:w w:val="100"/>
          <w:sz w:val="32"/>
          <w:szCs w:val="32"/>
          <w:lang w:eastAsia="zh-CN"/>
        </w:rPr>
      </w:pPr>
      <w:r>
        <w:rPr>
          <w:rFonts w:hint="eastAsia" w:ascii="仿宋_GB2312" w:hAnsi="仿宋_GB2312" w:eastAsia="仿宋_GB2312" w:cs="仿宋_GB2312"/>
          <w:b w:val="0"/>
          <w:i w:val="0"/>
          <w:caps w:val="0"/>
          <w:color w:val="auto"/>
          <w:spacing w:val="0"/>
          <w:w w:val="100"/>
          <w:sz w:val="32"/>
          <w:szCs w:val="32"/>
        </w:rPr>
        <w:t>本项目周边学校（含幼儿园）学位均处于紧张状态，无法完全满足承租住户适龄儿童入读需求，具体情况以龙岗区教育局或承租小区周边学校发布的信息为准</w:t>
      </w:r>
      <w:r>
        <w:rPr>
          <w:rFonts w:hint="eastAsia" w:ascii="仿宋_GB2312" w:hAnsi="仿宋_GB2312" w:eastAsia="仿宋_GB2312" w:cs="仿宋_GB2312"/>
          <w:b w:val="0"/>
          <w:i w:val="0"/>
          <w:caps w:val="0"/>
          <w:color w:val="auto"/>
          <w:spacing w:val="0"/>
          <w:w w:val="100"/>
          <w:sz w:val="32"/>
          <w:szCs w:val="32"/>
          <w:lang w:eastAsia="zh-CN"/>
        </w:rPr>
        <w:t>。</w:t>
      </w:r>
    </w:p>
    <w:p>
      <w:pPr>
        <w:spacing w:line="560" w:lineRule="exact"/>
        <w:ind w:firstLine="640" w:firstLineChars="200"/>
        <w:outlineLvl w:val="0"/>
        <w:rPr>
          <w:rFonts w:ascii="黑体" w:hAnsi="黑体" w:eastAsia="黑体" w:cs="黑体"/>
          <w:color w:val="auto"/>
          <w:sz w:val="32"/>
          <w:szCs w:val="32"/>
        </w:rPr>
      </w:pPr>
      <w:r>
        <w:rPr>
          <w:rFonts w:hint="eastAsia" w:ascii="黑体" w:hAnsi="黑体" w:eastAsia="黑体" w:cs="黑体"/>
          <w:color w:val="auto"/>
          <w:sz w:val="32"/>
          <w:szCs w:val="32"/>
        </w:rPr>
        <w:t>五、关于周边商业</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本项目周边拥有永和大王</w:t>
      </w:r>
      <w:r>
        <w:rPr>
          <w:rFonts w:ascii="仿宋_GB2312" w:hAnsi="仿宋_GB2312" w:eastAsia="仿宋_GB2312" w:cs="仿宋_GB2312"/>
          <w:color w:val="auto"/>
          <w:sz w:val="32"/>
          <w:szCs w:val="32"/>
        </w:rPr>
        <w:t>、番薯藤、</w:t>
      </w:r>
      <w:r>
        <w:rPr>
          <w:rFonts w:hint="eastAsia" w:ascii="仿宋_GB2312" w:hAnsi="仿宋_GB2312" w:eastAsia="仿宋_GB2312" w:cs="仿宋_GB2312"/>
          <w:color w:val="auto"/>
          <w:sz w:val="32"/>
          <w:szCs w:val="32"/>
        </w:rPr>
        <w:t>华润万家、百果园等日常生活配套。</w:t>
      </w:r>
    </w:p>
    <w:p>
      <w:pPr>
        <w:pStyle w:val="4"/>
        <w:numPr>
          <w:ilvl w:val="0"/>
          <w:numId w:val="0"/>
        </w:numPr>
        <w:spacing w:line="560" w:lineRule="exact"/>
        <w:ind w:left="640" w:leftChars="0"/>
        <w:outlineLvl w:val="0"/>
        <w:rPr>
          <w:rFonts w:ascii="黑体" w:hAnsi="黑体" w:eastAsia="黑体" w:cs="黑体"/>
          <w:color w:val="auto"/>
          <w:sz w:val="32"/>
          <w:szCs w:val="32"/>
        </w:rPr>
      </w:pPr>
      <w:r>
        <w:rPr>
          <w:rFonts w:hint="eastAsia" w:ascii="黑体" w:hAnsi="黑体" w:eastAsia="黑体" w:cs="黑体"/>
          <w:color w:val="auto"/>
          <w:sz w:val="32"/>
          <w:szCs w:val="32"/>
          <w:lang w:eastAsia="zh-CN"/>
        </w:rPr>
        <w:t>六、</w:t>
      </w:r>
      <w:r>
        <w:rPr>
          <w:rFonts w:hint="eastAsia" w:ascii="黑体" w:hAnsi="黑体" w:eastAsia="黑体" w:cs="黑体"/>
          <w:color w:val="auto"/>
          <w:sz w:val="32"/>
          <w:szCs w:val="32"/>
        </w:rPr>
        <w:t>关于项目配套设施设备</w:t>
      </w:r>
    </w:p>
    <w:p>
      <w:pPr>
        <w:numPr>
          <w:ilvl w:val="0"/>
          <w:numId w:val="1"/>
        </w:numPr>
        <w:spacing w:line="560" w:lineRule="exact"/>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万科公园里</w:t>
      </w:r>
      <w:r>
        <w:rPr>
          <w:rFonts w:hint="eastAsia" w:ascii="仿宋_GB2312" w:hAnsi="仿宋_GB2312" w:eastAsia="仿宋_GB2312" w:cs="仿宋_GB2312"/>
          <w:color w:val="auto"/>
          <w:sz w:val="32"/>
          <w:szCs w:val="32"/>
        </w:rPr>
        <w:t>花园负二层分别配置了高低压配电房、发电机房、风机房和水泵房。</w:t>
      </w:r>
    </w:p>
    <w:p>
      <w:pPr>
        <w:numPr>
          <w:ilvl w:val="0"/>
          <w:numId w:val="1"/>
        </w:numPr>
        <w:spacing w:line="560" w:lineRule="exact"/>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万科公园里</w:t>
      </w:r>
      <w:r>
        <w:rPr>
          <w:rFonts w:hint="eastAsia" w:ascii="仿宋_GB2312" w:hAnsi="仿宋_GB2312" w:eastAsia="仿宋_GB2312" w:cs="仿宋_GB2312"/>
          <w:color w:val="auto"/>
          <w:sz w:val="32"/>
          <w:szCs w:val="32"/>
        </w:rPr>
        <w:t>花园一层为出租商铺。</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以上各设备运行及商铺经营时产生的噪音、振动、热风等可能会对周边环境及邻近房产带来影响。</w:t>
      </w:r>
    </w:p>
    <w:p>
      <w:pPr>
        <w:spacing w:line="560" w:lineRule="exact"/>
        <w:ind w:firstLine="640" w:firstLineChars="200"/>
        <w:outlineLvl w:val="0"/>
        <w:rPr>
          <w:rFonts w:ascii="黑体" w:hAnsi="黑体" w:eastAsia="黑体" w:cs="黑体"/>
          <w:color w:val="auto"/>
          <w:sz w:val="32"/>
          <w:szCs w:val="32"/>
        </w:rPr>
      </w:pPr>
      <w:r>
        <w:rPr>
          <w:rFonts w:hint="eastAsia" w:ascii="黑体" w:hAnsi="黑体" w:eastAsia="黑体" w:cs="黑体"/>
          <w:color w:val="auto"/>
          <w:sz w:val="32"/>
          <w:szCs w:val="32"/>
        </w:rPr>
        <w:t>七、关于项目停车规划</w:t>
      </w:r>
    </w:p>
    <w:p>
      <w:pPr>
        <w:widowControl/>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本项目规划停车位</w:t>
      </w:r>
      <w:r>
        <w:rPr>
          <w:rFonts w:ascii="仿宋_GB2312" w:hAnsi="仿宋_GB2312" w:eastAsia="仿宋_GB2312" w:cs="仿宋_GB2312"/>
          <w:color w:val="auto"/>
          <w:sz w:val="32"/>
          <w:szCs w:val="32"/>
        </w:rPr>
        <w:t>已饱和</w:t>
      </w:r>
      <w:r>
        <w:rPr>
          <w:rFonts w:hint="eastAsia" w:ascii="仿宋_GB2312" w:hAnsi="仿宋_GB2312" w:eastAsia="仿宋_GB2312" w:cs="仿宋_GB2312"/>
          <w:color w:val="auto"/>
          <w:sz w:val="32"/>
          <w:szCs w:val="32"/>
        </w:rPr>
        <w:t>，根据现有车位进行排队办理，一退一进原则，可到服务中心登记车位排队信息。</w:t>
      </w:r>
    </w:p>
    <w:p>
      <w:pPr>
        <w:spacing w:line="560" w:lineRule="exact"/>
        <w:ind w:firstLine="640" w:firstLineChars="200"/>
        <w:outlineLvl w:val="0"/>
        <w:rPr>
          <w:rFonts w:ascii="黑体" w:hAnsi="黑体" w:eastAsia="黑体" w:cs="黑体"/>
          <w:color w:val="auto"/>
          <w:sz w:val="32"/>
          <w:szCs w:val="32"/>
        </w:rPr>
      </w:pPr>
      <w:r>
        <w:rPr>
          <w:rFonts w:hint="eastAsia" w:ascii="黑体" w:hAnsi="黑体" w:eastAsia="黑体" w:cs="黑体"/>
          <w:color w:val="auto"/>
          <w:sz w:val="32"/>
          <w:szCs w:val="32"/>
        </w:rPr>
        <w:t>八、关于物业管理费</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住宅物业服务费标准暂定为3.</w:t>
      </w:r>
      <w:r>
        <w:rPr>
          <w:rFonts w:ascii="仿宋_GB2312" w:hAnsi="仿宋_GB2312" w:eastAsia="仿宋_GB2312" w:cs="仿宋_GB2312"/>
          <w:color w:val="auto"/>
          <w:sz w:val="32"/>
          <w:szCs w:val="32"/>
        </w:rPr>
        <w:t>8</w:t>
      </w:r>
      <w:r>
        <w:rPr>
          <w:rFonts w:hint="eastAsia" w:ascii="仿宋_GB2312" w:hAnsi="仿宋_GB2312" w:eastAsia="仿宋_GB2312" w:cs="仿宋_GB2312"/>
          <w:color w:val="auto"/>
          <w:sz w:val="32"/>
          <w:szCs w:val="32"/>
        </w:rPr>
        <w:t>元/月.㎡。专项维修金为0.25元/月.㎡。</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物业服务费为现行标准，如有变更，按最新标准执行。</w:t>
      </w:r>
    </w:p>
    <w:p>
      <w:pPr>
        <w:spacing w:line="560" w:lineRule="exact"/>
        <w:ind w:firstLine="640" w:firstLineChars="200"/>
        <w:outlineLvl w:val="0"/>
        <w:rPr>
          <w:rFonts w:ascii="黑体" w:hAnsi="黑体" w:eastAsia="黑体" w:cs="黑体"/>
          <w:color w:val="auto"/>
          <w:sz w:val="32"/>
          <w:szCs w:val="32"/>
        </w:rPr>
      </w:pPr>
      <w:r>
        <w:rPr>
          <w:rFonts w:hint="eastAsia" w:ascii="黑体" w:hAnsi="黑体" w:eastAsia="黑体" w:cs="黑体"/>
          <w:color w:val="auto"/>
          <w:sz w:val="32"/>
          <w:szCs w:val="32"/>
        </w:rPr>
        <w:t>九、关于室内基本配置</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客厅及房间地面铺贴瓷砖，墙面为乳胶漆。</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卫生间地面铺贴防滑砖、墙面铺贴瓷砖，配置有花洒、龙头、洗手盆、坐便器及排气扇。</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厨房地面铺贴防滑砖、墙面铺贴瓷砖。</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室内无配置燃气灶及燃气热水器等电器。</w:t>
      </w:r>
    </w:p>
    <w:p>
      <w:pPr>
        <w:spacing w:line="560" w:lineRule="exact"/>
        <w:ind w:firstLine="640" w:firstLineChars="200"/>
        <w:outlineLvl w:val="0"/>
        <w:rPr>
          <w:rFonts w:ascii="黑体" w:hAnsi="黑体" w:eastAsia="黑体" w:cs="黑体"/>
          <w:color w:val="auto"/>
          <w:sz w:val="32"/>
          <w:szCs w:val="32"/>
        </w:rPr>
      </w:pPr>
      <w:r>
        <w:rPr>
          <w:rFonts w:hint="eastAsia" w:ascii="黑体" w:hAnsi="黑体" w:eastAsia="黑体" w:cs="黑体"/>
          <w:color w:val="auto"/>
          <w:sz w:val="32"/>
          <w:szCs w:val="32"/>
        </w:rPr>
        <w:t>十、其他提醒事项</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公共租赁住房原则上不允许住户自行装修。严禁住户以下行为：改变建筑结构形式及功能布局、改变或影响建筑外立面、改接燃气管道或强电线路、拆除室内隔墙或入户门、原墙地砖、外窗及加装入户防盗门,禁止改变房屋使用功能等。</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（二）燃气管道已经铺装到户，已具备燃气灶及燃气热水器安装条件。住户初次使用管道燃气时，须向燃气公司申请开通后使用。本项目禁止使用瓶装燃气。</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（三）购买家具家电前，建议预先测量电梯及门洞尺寸，并测量摆放位置，以避免无法搬进。</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（四）周边商家经营行为所产生的噪音、振动、热风、废气及气味等，可能会对周边环境及邻近房产带来一定影响。</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以上事项，请认真阅读，感谢您对我区住房保障工作的理解和支持！</w:t>
      </w:r>
    </w:p>
    <w:p>
      <w:pPr>
        <w:spacing w:line="560" w:lineRule="exact"/>
        <w:rPr>
          <w:rFonts w:ascii="仿宋_GB2312" w:hAnsi="仿宋_GB2312" w:eastAsia="仿宋_GB2312" w:cs="仿宋_GB2312"/>
          <w:color w:val="auto"/>
          <w:sz w:val="32"/>
          <w:szCs w:val="32"/>
        </w:rPr>
      </w:pPr>
    </w:p>
    <w:p>
      <w:pPr>
        <w:rPr>
          <w:color w:val="auto"/>
        </w:rPr>
      </w:pP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1"/>
      <w:numFmt w:val="chineseCounting"/>
      <w:suff w:val="nothing"/>
      <w:lvlText w:val="（%1）"/>
      <w:lvlJc w:val="left"/>
      <w:pPr>
        <w:ind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2C1939"/>
    <w:rsid w:val="22D5086B"/>
    <w:rsid w:val="24BF474D"/>
    <w:rsid w:val="2ABA4B4C"/>
    <w:rsid w:val="4ED90F16"/>
    <w:rsid w:val="53925BC1"/>
    <w:rsid w:val="748A3CEE"/>
    <w:rsid w:val="796C53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qFormat/>
    <w:uiPriority w:val="1"/>
  </w:style>
  <w:style w:type="table" w:default="1" w:styleId="2">
    <w:name w:val="Normal Table"/>
    <w:uiPriority w:val="99"/>
    <w:tblPr>
      <w:tblLayout w:type="fixed"/>
      <w:tblCellMar>
        <w:top w:w="0" w:type="dxa"/>
        <w:left w:w="108" w:type="dxa"/>
        <w:bottom w:w="0" w:type="dxa"/>
        <w:right w:w="108" w:type="dxa"/>
      </w:tblCellMar>
    </w:tblPr>
  </w:style>
  <w:style w:type="paragraph" w:styleId="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3</Pages>
  <Words>936</Words>
  <Characters>946</Characters>
  <Paragraphs>37</Paragraphs>
  <TotalTime>0</TotalTime>
  <ScaleCrop>false</ScaleCrop>
  <LinksUpToDate>false</LinksUpToDate>
  <CharactersWithSpaces>946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罗玲玲</cp:lastModifiedBy>
  <dcterms:modified xsi:type="dcterms:W3CDTF">2021-10-22T02:49:50Z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