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农业银行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星河开市客环球商业中心项目按揭服务指南</w:t>
      </w:r>
      <w:bookmarkStart w:id="0" w:name="_GoBack"/>
      <w:bookmarkEnd w:id="0"/>
    </w:p>
    <w:p>
      <w:p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购房者所需提供的按揭资料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商业贷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4、收入来源稳定，具备按期偿还信用的能力；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5、社保:深户及社保3年，非深户提供社保5年(最长可断3个月，且5年半内合计缴满60个月)。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贷款政策：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2、最长贷款年限30年（贷款期限与借款人年龄之和不超过75周岁）；成数最高7成；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650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3、还款方式：等额本息或等额本金。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3、银行客户经理审核客户贷款资质，并报批贷款;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4、贷款审批通过后，我行出具贷款承诺函给开发商;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6、开发商将备案后的网签合同、借款合同盖章发往我行，资料和手续齐全后我行发放贷款；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公积金贷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3、社保:深户及社保3年，非深户提供社保5年(最长可断3个月，且5年半内合计缴满60个月)；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4、截止至购房日公积金缴存连续6个月未中断；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5、公积金贷款单人可贷 50 万、家庭可贷 90万，公积金贷款金额最高不超过公积金账户余额的14倍。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numPr>
          <w:ilvl w:val="0"/>
          <w:numId w:val="3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公积金贷款政策：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个人最高50万，夫妻双方最高90万；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最长贷款年限30年（贷款期限与借款人年龄之和不超过70周岁）； 成数最高7成；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利率:参照最新公积金利率（目前五年以上首套3.1%，二套3.575%）；</w:t>
      </w:r>
    </w:p>
    <w:p>
      <w:pPr>
        <w:numPr>
          <w:ilvl w:val="0"/>
          <w:numId w:val="4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还款方式:等额本金、等额本息。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组合贷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4、收入来源稳定，具备按期偿还信用的能力；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5、社保:深户及社保3年，非深户提供社保5年(最长可断3个月，且5年半内合计缴满60个月)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6、截止至购房日公积金缴存连续6个月未中断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7、公积金贷款单人可贷 50 万、家庭可贷 90万，公积金贷款金额最高不超过公积金账户余额的14倍。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按揭资料：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9、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近半年公积金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缴纳未中断或者补交记录，提供公积金账号(粤省事或者支付宝或者i深圳)。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贷款政策：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商业部分：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2、最长贷款年限30年（贷款期限与借款人年龄之和不超过70周岁）；成数最高7成；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524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3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还款方式：等额本息或等额本金。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公积金部分：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1、个人最高50万，夫妻双方最高90万；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2、期限:最长30年；最高成数:7成；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3、利率:参照最新公积金利率（目前五年以上首套3.1%，二套3.575%）。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4、公积金贷款审批通过后，报分行审批商业贷款。公积金贷款和商业贷款审批通过后，我行出具贷款承诺函给开发商;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在资料完备情况下，我行一般完成按揭办理时间为：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商业贷款：资料齐全后2个工作日内审批通过，满足放款条件后2个工作日内发放贷款；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组合贷款：资料齐全后5个工作日内审批通过，满足放款条件后2个工作日内发放贷款；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纯公积金贷款：资料齐全后3个工作日内审批通过，满足放款条件后2个工作日内发放贷款。</w:t>
      </w:r>
    </w:p>
    <w:p>
      <w:pPr>
        <w:numPr>
          <w:ilvl w:val="0"/>
          <w:numId w:val="0"/>
        </w:numPr>
        <w:ind w:left="642" w:left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特别提醒事项（特别要求、含办理收费标准等事项）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20" w:lineRule="exact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三：“贷”您同行 ——为您提供多项保障</w:t>
      </w:r>
    </w:p>
    <w:p>
      <w:pPr>
        <w:spacing w:line="400" w:lineRule="exact"/>
        <w:jc w:val="left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业主e贷：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期限最长5年，最高授信100万，可视情况按月结息或等额本息。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综合消费贷款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：期限最长5年，最高金额可达200万元，资料简单、放款快速。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助业贷款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：贷款金额最高1000万元（针对我行私行签约且达标客户，金额最高可申请3000万）。本产品贷款额度高，利率成本低，可满足小微企业主的资金需求。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家装分期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：授信额度最高30万元，最长期限5年，月费率0.23%，满足客户的装修消费需求。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乐分易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：额度最高30万元，期限最长5年，纯信用，手续费每万元低至0.84元/日。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四、服务联系方式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农业银行凤凰支行     银行客户经理：刘经理13927453547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   农业银行凤凰支行                                   2022年11月29日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C0E0"/>
    <w:multiLevelType w:val="singleLevel"/>
    <w:tmpl w:val="89A8C0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AA51B6"/>
    <w:multiLevelType w:val="singleLevel"/>
    <w:tmpl w:val="EFAA51B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A7CD223"/>
    <w:multiLevelType w:val="singleLevel"/>
    <w:tmpl w:val="FA7CD2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242B62D"/>
    <w:multiLevelType w:val="singleLevel"/>
    <w:tmpl w:val="2242B62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132160C6"/>
    <w:rsid w:val="006F424B"/>
    <w:rsid w:val="011B720B"/>
    <w:rsid w:val="022B1CB6"/>
    <w:rsid w:val="03224133"/>
    <w:rsid w:val="033E55CF"/>
    <w:rsid w:val="05434902"/>
    <w:rsid w:val="06511AD3"/>
    <w:rsid w:val="075D32D6"/>
    <w:rsid w:val="078427B2"/>
    <w:rsid w:val="07E124B6"/>
    <w:rsid w:val="081158A9"/>
    <w:rsid w:val="0DB67EA6"/>
    <w:rsid w:val="0F615990"/>
    <w:rsid w:val="1003435E"/>
    <w:rsid w:val="105311EC"/>
    <w:rsid w:val="10AB63CD"/>
    <w:rsid w:val="11A5223C"/>
    <w:rsid w:val="12B61CEA"/>
    <w:rsid w:val="132160C6"/>
    <w:rsid w:val="14073534"/>
    <w:rsid w:val="14116129"/>
    <w:rsid w:val="14604F84"/>
    <w:rsid w:val="1595687B"/>
    <w:rsid w:val="16113C44"/>
    <w:rsid w:val="16C95E19"/>
    <w:rsid w:val="171C7F2C"/>
    <w:rsid w:val="183F1D1F"/>
    <w:rsid w:val="18503B0D"/>
    <w:rsid w:val="1A0A182E"/>
    <w:rsid w:val="1BBD2366"/>
    <w:rsid w:val="1BE81DC5"/>
    <w:rsid w:val="1D7C2D95"/>
    <w:rsid w:val="1E0659C0"/>
    <w:rsid w:val="1E1D7F4F"/>
    <w:rsid w:val="1EAC4F15"/>
    <w:rsid w:val="1F583A12"/>
    <w:rsid w:val="1FC403E6"/>
    <w:rsid w:val="20157348"/>
    <w:rsid w:val="21093437"/>
    <w:rsid w:val="212A5E66"/>
    <w:rsid w:val="21DB3F93"/>
    <w:rsid w:val="21DF55E9"/>
    <w:rsid w:val="22831454"/>
    <w:rsid w:val="22837FED"/>
    <w:rsid w:val="22C561AE"/>
    <w:rsid w:val="2310529C"/>
    <w:rsid w:val="24A46F4A"/>
    <w:rsid w:val="24C40BED"/>
    <w:rsid w:val="263B2A55"/>
    <w:rsid w:val="28DC4E3D"/>
    <w:rsid w:val="29585B0A"/>
    <w:rsid w:val="2A431522"/>
    <w:rsid w:val="2A5937C0"/>
    <w:rsid w:val="2AF52187"/>
    <w:rsid w:val="2B492CC4"/>
    <w:rsid w:val="2C3540AE"/>
    <w:rsid w:val="2D717BB3"/>
    <w:rsid w:val="2E817C62"/>
    <w:rsid w:val="3026101F"/>
    <w:rsid w:val="30907B6B"/>
    <w:rsid w:val="317063B4"/>
    <w:rsid w:val="32E60651"/>
    <w:rsid w:val="35434A7E"/>
    <w:rsid w:val="373B4CA9"/>
    <w:rsid w:val="37DF31F1"/>
    <w:rsid w:val="38CB1D80"/>
    <w:rsid w:val="39206943"/>
    <w:rsid w:val="3A25649D"/>
    <w:rsid w:val="3A7E55BB"/>
    <w:rsid w:val="3A8A0DA9"/>
    <w:rsid w:val="3ABA07F7"/>
    <w:rsid w:val="3BFE6198"/>
    <w:rsid w:val="3D250892"/>
    <w:rsid w:val="3D796FF2"/>
    <w:rsid w:val="3DF02AB7"/>
    <w:rsid w:val="3EC63079"/>
    <w:rsid w:val="40666567"/>
    <w:rsid w:val="43A6605F"/>
    <w:rsid w:val="44245C32"/>
    <w:rsid w:val="47C06C4A"/>
    <w:rsid w:val="494D4644"/>
    <w:rsid w:val="4A0C740C"/>
    <w:rsid w:val="4BBD4D80"/>
    <w:rsid w:val="4BFC26D5"/>
    <w:rsid w:val="4C00057B"/>
    <w:rsid w:val="4CDB4585"/>
    <w:rsid w:val="4E913470"/>
    <w:rsid w:val="4EC33487"/>
    <w:rsid w:val="4F7177BE"/>
    <w:rsid w:val="514073CF"/>
    <w:rsid w:val="51883317"/>
    <w:rsid w:val="519C0920"/>
    <w:rsid w:val="52006208"/>
    <w:rsid w:val="53D031F3"/>
    <w:rsid w:val="549D3CA9"/>
    <w:rsid w:val="551003D4"/>
    <w:rsid w:val="55FE06FD"/>
    <w:rsid w:val="57A1416F"/>
    <w:rsid w:val="57BF79FC"/>
    <w:rsid w:val="5B9F77AB"/>
    <w:rsid w:val="5E1B295F"/>
    <w:rsid w:val="5E886EB4"/>
    <w:rsid w:val="5EEA3187"/>
    <w:rsid w:val="5F0D577B"/>
    <w:rsid w:val="60FA39BE"/>
    <w:rsid w:val="614738CD"/>
    <w:rsid w:val="61D54DAE"/>
    <w:rsid w:val="62A059F9"/>
    <w:rsid w:val="63421DE8"/>
    <w:rsid w:val="63971B76"/>
    <w:rsid w:val="64270D7F"/>
    <w:rsid w:val="649F21CA"/>
    <w:rsid w:val="65503B4D"/>
    <w:rsid w:val="685B2CBD"/>
    <w:rsid w:val="69F81400"/>
    <w:rsid w:val="6BDC32D2"/>
    <w:rsid w:val="6BED63C6"/>
    <w:rsid w:val="6C7F133F"/>
    <w:rsid w:val="6D761D10"/>
    <w:rsid w:val="6D7E5013"/>
    <w:rsid w:val="6E7F5654"/>
    <w:rsid w:val="6F741C10"/>
    <w:rsid w:val="6FB46B79"/>
    <w:rsid w:val="70AD5FA5"/>
    <w:rsid w:val="714E7FB1"/>
    <w:rsid w:val="72741DDC"/>
    <w:rsid w:val="731036D6"/>
    <w:rsid w:val="75DB7429"/>
    <w:rsid w:val="7679693E"/>
    <w:rsid w:val="770A7750"/>
    <w:rsid w:val="77D75335"/>
    <w:rsid w:val="782B68A8"/>
    <w:rsid w:val="79513EE2"/>
    <w:rsid w:val="7B6A7208"/>
    <w:rsid w:val="7B8123BF"/>
    <w:rsid w:val="7CCE5D66"/>
    <w:rsid w:val="7CEB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2930</Words>
  <Characters>3033</Characters>
  <Lines>0</Lines>
  <Paragraphs>0</Paragraphs>
  <TotalTime>0</TotalTime>
  <ScaleCrop>false</ScaleCrop>
  <LinksUpToDate>false</LinksUpToDate>
  <CharactersWithSpaces>3104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2022-11-28T01:19:00Z</dcterms:created>
  <dc:creator>朱竞熹</dc:creator>
  <cp:lastModifiedBy>WPS_1622462083</cp:lastModifiedBy>
  <cp:lastPrinted>2022-11-29T12:29:00Z</cp:lastPrinted>
  <dcterms:modified xsi:type="dcterms:W3CDTF">2022-12-04T10:01:41Z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699538586A404A758B494A21F7F5309E</vt:lpwstr>
  </property>
</Properties>
</file>