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2157" w14:textId="0FA93F30" w:rsidR="00700B85" w:rsidRDefault="00000000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建设银行安居</w:t>
      </w:r>
      <w:r w:rsidR="008D6241" w:rsidRPr="008D6241">
        <w:rPr>
          <w:rFonts w:ascii="方正小标宋简体" w:eastAsia="方正小标宋简体" w:hAnsi="方正小标宋简体" w:cs="方正小标宋简体" w:hint="eastAsia"/>
          <w:sz w:val="36"/>
          <w:szCs w:val="36"/>
        </w:rPr>
        <w:t>君兰</w:t>
      </w:r>
      <w:proofErr w:type="gramStart"/>
      <w:r w:rsidR="008D6241" w:rsidRPr="008D6241">
        <w:rPr>
          <w:rFonts w:ascii="方正小标宋简体" w:eastAsia="方正小标宋简体" w:hAnsi="方正小标宋简体" w:cs="方正小标宋简体" w:hint="eastAsia"/>
          <w:sz w:val="36"/>
          <w:szCs w:val="36"/>
        </w:rPr>
        <w:t>湾府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项目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按揭服务指南</w:t>
      </w:r>
    </w:p>
    <w:p w14:paraId="409CEA09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购房者所需提供的按揭资料</w:t>
      </w:r>
    </w:p>
    <w:p w14:paraId="5ECB3688" w14:textId="77777777" w:rsidR="00700B85" w:rsidRDefault="00000000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商业贷（首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套利率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为LPR+30基点）</w:t>
      </w:r>
    </w:p>
    <w:p w14:paraId="34F7E263" w14:textId="77777777" w:rsidR="00700B85" w:rsidRDefault="00000000">
      <w:pPr>
        <w:ind w:left="1280" w:hangingChars="400" w:hanging="12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1、身份证、结婚证（或离婚证）、户口本，核查原件，留存复印件各1份；</w:t>
      </w:r>
    </w:p>
    <w:p w14:paraId="24B4C7C8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2、收入证明、银行流水、工资存折或工资条原件（国内人士）、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建行供楼账户、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借款人及家庭成员房屋信息查档单； </w:t>
      </w:r>
    </w:p>
    <w:p w14:paraId="46611900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3、首期款收据原件（开发商出具）及银行转账凭证原件，POS机刷卡单，首付款流水，认购协议原件；</w:t>
      </w:r>
    </w:p>
    <w:p w14:paraId="1608EA92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4、收入证明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月均</w:t>
      </w:r>
      <w:r>
        <w:rPr>
          <w:rFonts w:ascii="仿宋_GB2312" w:eastAsia="仿宋_GB2312" w:hAnsi="仿宋_GB2312" w:cs="仿宋_GB2312" w:hint="eastAsia"/>
          <w:sz w:val="32"/>
          <w:szCs w:val="32"/>
        </w:rPr>
        <w:t>收入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原则上</w:t>
      </w:r>
      <w:r>
        <w:rPr>
          <w:rFonts w:ascii="仿宋_GB2312" w:eastAsia="仿宋_GB2312" w:hAnsi="仿宋_GB2312" w:cs="仿宋_GB2312" w:hint="eastAsia"/>
          <w:sz w:val="32"/>
          <w:szCs w:val="32"/>
        </w:rPr>
        <w:t>满足月供款额的两倍以上（负债另算），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如有其他收入来源也可提供材料纳入收入计算；</w:t>
      </w:r>
    </w:p>
    <w:p w14:paraId="6F1BA725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5、资产证明：房产证、车辆行驶证、股票、基金、银行理财产品、定期存款等均可以作为资产证明（非必要资料）。</w:t>
      </w:r>
    </w:p>
    <w:p w14:paraId="12E83AEB" w14:textId="77777777" w:rsidR="00700B85" w:rsidRDefault="00000000">
      <w:pPr>
        <w:numPr>
          <w:ilvl w:val="0"/>
          <w:numId w:val="2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公积金贷（利率3.1%）</w:t>
      </w:r>
    </w:p>
    <w:p w14:paraId="7229023D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1、身份证、结婚证（或离婚证）、户口本原件核查，留存复印件各1份，借款人及家庭成员房屋信息查档单，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建行供楼账户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2A47D932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2、首期款收据原件（开发商出具）及银行转账凭证原件，POS机刷卡单，首付款流水，认购协议原件；</w:t>
      </w:r>
    </w:p>
    <w:p w14:paraId="21641088" w14:textId="77777777" w:rsidR="00700B85" w:rsidRDefault="00000000">
      <w:pPr>
        <w:ind w:leftChars="304" w:left="1278" w:hangingChars="200" w:hanging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（三）组合贷（商贷部分LPR+30基点，公积金3.1%）</w:t>
      </w:r>
    </w:p>
    <w:p w14:paraId="16DB022F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1、身份证、结婚证（或离婚证）、户口本核查原件，留存复印件各1份；</w:t>
      </w:r>
    </w:p>
    <w:p w14:paraId="6AEF7134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2、收入证明、银行流水、工资存折或工资条原件（国内人士）、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建行供楼账户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、借款人及家庭成员房屋信息查档单； </w:t>
      </w:r>
    </w:p>
    <w:p w14:paraId="7ED6D791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3、首期款收据原件（开发商出具）及银行转账凭证原件，POS机刷卡单，首付款流水，认购协议原件；</w:t>
      </w:r>
    </w:p>
    <w:p w14:paraId="1318C34D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4、收入证明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月均</w:t>
      </w:r>
      <w:r>
        <w:rPr>
          <w:rFonts w:ascii="仿宋_GB2312" w:eastAsia="仿宋_GB2312" w:hAnsi="仿宋_GB2312" w:cs="仿宋_GB2312" w:hint="eastAsia"/>
          <w:sz w:val="32"/>
          <w:szCs w:val="32"/>
        </w:rPr>
        <w:t>收入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原则上</w:t>
      </w:r>
      <w:r>
        <w:rPr>
          <w:rFonts w:ascii="仿宋_GB2312" w:eastAsia="仿宋_GB2312" w:hAnsi="仿宋_GB2312" w:cs="仿宋_GB2312" w:hint="eastAsia"/>
          <w:sz w:val="32"/>
          <w:szCs w:val="32"/>
        </w:rPr>
        <w:t>满足月供款额的两倍以上（负债另算），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如有其他收入来源也可提供材料纳入收入计算；</w:t>
      </w:r>
    </w:p>
    <w:p w14:paraId="38090A8F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5、资产证明：房产证、车辆行驶证、股票、基金、银行理财产品、定期存款等均可以作为资产证明（非必要资料）。    </w:t>
      </w:r>
    </w:p>
    <w:p w14:paraId="4DE6E285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特别提醒事项（特别要求、</w:t>
      </w:r>
      <w:proofErr w:type="gramStart"/>
      <w:r>
        <w:rPr>
          <w:rFonts w:ascii="黑体" w:eastAsia="黑体" w:hAnsi="黑体" w:cs="黑体" w:hint="eastAsia"/>
          <w:b/>
          <w:bCs/>
          <w:sz w:val="32"/>
          <w:szCs w:val="32"/>
        </w:rPr>
        <w:t>含办理</w:t>
      </w:r>
      <w:proofErr w:type="gramEnd"/>
      <w:r>
        <w:rPr>
          <w:rFonts w:ascii="黑体" w:eastAsia="黑体" w:hAnsi="黑体" w:cs="黑体" w:hint="eastAsia"/>
          <w:b/>
          <w:bCs/>
          <w:sz w:val="32"/>
          <w:szCs w:val="32"/>
        </w:rPr>
        <w:t>收费标准等事项）</w:t>
      </w:r>
    </w:p>
    <w:p w14:paraId="2D8CE89A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1、公积金贷款资料必须使用原件复印，不能使用照片打印；</w:t>
      </w:r>
    </w:p>
    <w:p w14:paraId="11C41F16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2、还款账户需要使用一类账户，不能使用二类账户。</w:t>
      </w:r>
    </w:p>
    <w:p w14:paraId="2BE938E1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贷款条件</w:t>
      </w:r>
    </w:p>
    <w:p w14:paraId="2D37D7D2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1、借款最高成数和年限：贷款7成30年；年满18周岁，具有完全民事行为能力的自然人可以申请。最长不超过30年；贷款年限+年龄≤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Pr="00BE10C2">
        <w:rPr>
          <w:rFonts w:ascii="仿宋_GB2312" w:eastAsia="仿宋_GB2312" w:hAnsi="仿宋_GB2312" w:cs="仿宋_GB2312"/>
          <w:sz w:val="32"/>
          <w:szCs w:val="32"/>
        </w:rPr>
        <w:t>5</w:t>
      </w:r>
      <w:r w:rsidRPr="00BE10C2">
        <w:rPr>
          <w:rFonts w:ascii="仿宋_GB2312" w:eastAsia="仿宋_GB2312" w:hAnsi="仿宋_GB2312" w:cs="仿宋_GB2312" w:hint="eastAsia"/>
          <w:sz w:val="32"/>
          <w:szCs w:val="32"/>
        </w:rPr>
        <w:t>岁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525F6316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2、首付款来源：首付款为自有资金且非信贷资金；</w:t>
      </w:r>
    </w:p>
    <w:p w14:paraId="30692DFE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3、公积金贷款需要申请人连续缴交6个月以上，且账户状态为正常；</w:t>
      </w:r>
    </w:p>
    <w:p w14:paraId="4E162B6F" w14:textId="77777777" w:rsidR="00700B85" w:rsidRDefault="00000000">
      <w:pPr>
        <w:ind w:leftChars="380" w:left="127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4、公积金在个人窗口缴交、因疫情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断缴并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补缴的客户需要自行到公积金中心申请 。</w:t>
      </w:r>
    </w:p>
    <w:p w14:paraId="438D2A13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贷款流程</w:t>
      </w:r>
    </w:p>
    <w:p w14:paraId="1993F232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公积金贷款</w:t>
      </w:r>
    </w:p>
    <w:p w14:paraId="5BBF3317" w14:textId="77777777" w:rsidR="00700B85" w:rsidRDefault="00000000">
      <w:pPr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受理申请--资料整理--申报公积金审批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买卖合同备案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放款</w:t>
      </w:r>
    </w:p>
    <w:p w14:paraId="5117EBC5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商业贷款</w:t>
      </w:r>
    </w:p>
    <w:p w14:paraId="1DBCCC6B" w14:textId="77777777" w:rsidR="00700B85" w:rsidRDefault="00000000">
      <w:pPr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受理申请--资料整理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资料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审核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贷款审批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买卖合同备案</w:t>
      </w:r>
      <w:r>
        <w:rPr>
          <w:rFonts w:ascii="仿宋_GB2312" w:eastAsia="仿宋_GB2312" w:hAnsi="仿宋_GB2312" w:cs="仿宋_GB2312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sz w:val="32"/>
          <w:szCs w:val="32"/>
        </w:rPr>
        <w:t>放款</w:t>
      </w:r>
    </w:p>
    <w:p w14:paraId="6EFAF544" w14:textId="77777777" w:rsidR="00700B85" w:rsidRDefault="00000000">
      <w:pPr>
        <w:numPr>
          <w:ilvl w:val="0"/>
          <w:numId w:val="1"/>
        </w:numPr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服务联系方式</w:t>
      </w:r>
    </w:p>
    <w:p w14:paraId="2CA02E16" w14:textId="19EF946B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</w:t>
      </w:r>
      <w:r w:rsidR="008D6241">
        <w:rPr>
          <w:rFonts w:ascii="仿宋_GB2312" w:eastAsia="仿宋_GB2312" w:hAnsi="仿宋_GB2312" w:cs="仿宋_GB2312" w:hint="eastAsia"/>
          <w:sz w:val="32"/>
          <w:szCs w:val="32"/>
        </w:rPr>
        <w:t>蒋爽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8D6241">
        <w:rPr>
          <w:rFonts w:ascii="仿宋_GB2312" w:eastAsia="仿宋_GB2312" w:hAnsi="仿宋_GB2312" w:cs="仿宋_GB2312"/>
          <w:sz w:val="32"/>
          <w:szCs w:val="32"/>
        </w:rPr>
        <w:t>13923786639</w:t>
      </w:r>
    </w:p>
    <w:p w14:paraId="1814C98D" w14:textId="29D79A09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</w:t>
      </w:r>
      <w:r w:rsidR="008D6241">
        <w:rPr>
          <w:rFonts w:ascii="仿宋_GB2312" w:eastAsia="仿宋_GB2312" w:hAnsi="仿宋_GB2312" w:cs="仿宋_GB2312" w:hint="eastAsia"/>
          <w:sz w:val="32"/>
          <w:szCs w:val="32"/>
        </w:rPr>
        <w:t>曹宇飞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8D6241">
        <w:rPr>
          <w:rFonts w:ascii="仿宋_GB2312" w:eastAsia="仿宋_GB2312" w:hAnsi="仿宋_GB2312" w:cs="仿宋_GB2312"/>
          <w:sz w:val="32"/>
          <w:szCs w:val="32"/>
        </w:rPr>
        <w:t>13751100387</w:t>
      </w:r>
    </w:p>
    <w:p w14:paraId="7084EB9B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丁相君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13760493430</w:t>
      </w:r>
    </w:p>
    <w:p w14:paraId="364F7ACB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客户经理：闫明13823689576</w:t>
      </w:r>
    </w:p>
    <w:p w14:paraId="22267D5D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建设银行      客户经理：冯健 13825202882</w:t>
      </w:r>
    </w:p>
    <w:p w14:paraId="39A4146E" w14:textId="77777777" w:rsidR="00700B85" w:rsidRDefault="0000000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建设银行      客户经理：陈军声 </w:t>
      </w:r>
      <w:r w:rsidRPr="00BE10C2">
        <w:rPr>
          <w:rFonts w:ascii="仿宋_GB2312" w:eastAsia="仿宋_GB2312" w:hAnsi="仿宋_GB2312" w:cs="仿宋_GB2312"/>
          <w:sz w:val="32"/>
          <w:szCs w:val="32"/>
        </w:rPr>
        <w:t>13510409711</w:t>
      </w:r>
    </w:p>
    <w:p w14:paraId="66B089EA" w14:textId="77777777" w:rsidR="00700B85" w:rsidRDefault="00000000">
      <w:pPr>
        <w:ind w:left="6110" w:hangingChars="1902" w:hanging="6110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 xml:space="preserve">           中国建设银行股份有限公司深圳市分行营业部</w:t>
      </w:r>
    </w:p>
    <w:p w14:paraId="1DA7BA90" w14:textId="77777777" w:rsidR="00700B85" w:rsidRDefault="00000000">
      <w:pPr>
        <w:ind w:leftChars="1824" w:left="6140" w:hangingChars="719" w:hanging="2310"/>
      </w:pPr>
      <w:r>
        <w:rPr>
          <w:rFonts w:ascii="黑体" w:eastAsia="黑体" w:hAnsi="黑体" w:cs="黑体"/>
          <w:b/>
          <w:bCs/>
          <w:sz w:val="32"/>
          <w:szCs w:val="32"/>
        </w:rPr>
        <w:t>2022年11月28日</w:t>
      </w:r>
    </w:p>
    <w:sectPr w:rsidR="00700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522E760"/>
    <w:multiLevelType w:val="singleLevel"/>
    <w:tmpl w:val="E522E76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FA7CD223"/>
    <w:multiLevelType w:val="singleLevel"/>
    <w:tmpl w:val="FA7CD22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461268056">
    <w:abstractNumId w:val="0"/>
  </w:num>
  <w:num w:numId="2" w16cid:durableId="1693190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E7F27EE"/>
    <w:rsid w:val="7E7F27EE"/>
    <w:rsid w:val="FD6F5201"/>
    <w:rsid w:val="001039BF"/>
    <w:rsid w:val="001213C2"/>
    <w:rsid w:val="00367838"/>
    <w:rsid w:val="004921DC"/>
    <w:rsid w:val="00606AF1"/>
    <w:rsid w:val="00663911"/>
    <w:rsid w:val="00700B85"/>
    <w:rsid w:val="008A5395"/>
    <w:rsid w:val="008D6241"/>
    <w:rsid w:val="00917A3E"/>
    <w:rsid w:val="00966107"/>
    <w:rsid w:val="00B05620"/>
    <w:rsid w:val="00BE10C2"/>
    <w:rsid w:val="00CA7C43"/>
    <w:rsid w:val="00F10E34"/>
    <w:rsid w:val="00F94B99"/>
    <w:rsid w:val="0DF470F6"/>
    <w:rsid w:val="2504633D"/>
    <w:rsid w:val="7E7F27EE"/>
    <w:rsid w:val="7F5F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8CF99D"/>
  <w15:docId w15:val="{AC932A8A-AFB8-422B-BBC0-14D76141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表段落1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朱竞熹</dc:creator>
  <cp:lastModifiedBy>冯 健</cp:lastModifiedBy>
  <cp:revision>3</cp:revision>
  <dcterms:created xsi:type="dcterms:W3CDTF">2022-11-29T12:21:00Z</dcterms:created>
  <dcterms:modified xsi:type="dcterms:W3CDTF">2022-11-29T12:22:00Z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  <property fmtid="{D5CDD505-2E9C-101B-9397-08002B2CF9AE}" pid="3" name="ICV">
    <vt:lpwstr>9DD2B9B28A064E4BBED6EE6A272B7238</vt:lpwstr>
  </property>
</Properties>
</file>