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方正小标宋_GBK" w:hAnsi="方正小标宋_GBK" w:eastAsia="方正小标宋_GBK" w:cs="方正小标宋_GBK"/>
          <w:sz w:val="44"/>
          <w:szCs w:val="44"/>
          <w:lang w:eastAsia="zh-CN"/>
        </w:rPr>
      </w:pPr>
      <w:bookmarkStart w:id="32" w:name="_GoBack"/>
      <w:bookmarkStart w:id="0" w:name="_Toc40444452"/>
      <w:bookmarkStart w:id="1" w:name="_Toc40429419"/>
      <w:bookmarkStart w:id="2" w:name="_Toc345321927"/>
      <w:bookmarkStart w:id="3" w:name="_Toc505779621"/>
      <w:bookmarkStart w:id="4" w:name="_Toc347002314"/>
      <w:bookmarkStart w:id="5" w:name="_Toc355603592"/>
      <w:bookmarkStart w:id="6" w:name="_Toc339716621"/>
      <w:r>
        <w:rPr>
          <w:rFonts w:hint="eastAsia" w:ascii="方正小标宋_GBK" w:hAnsi="方正小标宋_GBK" w:eastAsia="方正小标宋_GBK" w:cs="方正小标宋_GBK"/>
          <w:sz w:val="44"/>
          <w:szCs w:val="44"/>
        </w:rPr>
        <w:t>龙岗区</w:t>
      </w:r>
      <w:r>
        <w:rPr>
          <w:rFonts w:hint="eastAsia" w:ascii="方正小标宋_GBK" w:hAnsi="方正小标宋_GBK" w:eastAsia="方正小标宋_GBK" w:cs="方正小标宋_GBK"/>
          <w:sz w:val="44"/>
          <w:szCs w:val="44"/>
          <w:lang w:val="en-US" w:eastAsia="zh-CN"/>
        </w:rPr>
        <w:t>2022年度</w:t>
      </w:r>
      <w:r>
        <w:rPr>
          <w:rFonts w:hint="eastAsia" w:ascii="方正小标宋_GBK" w:hAnsi="方正小标宋_GBK" w:eastAsia="方正小标宋_GBK" w:cs="方正小标宋_GBK"/>
          <w:sz w:val="44"/>
          <w:szCs w:val="44"/>
        </w:rPr>
        <w:t>环境</w:t>
      </w:r>
      <w:r>
        <w:rPr>
          <w:rFonts w:hint="eastAsia" w:ascii="方正小标宋_GBK" w:hAnsi="方正小标宋_GBK" w:eastAsia="方正小标宋_GBK" w:cs="方正小标宋_GBK"/>
          <w:sz w:val="44"/>
          <w:szCs w:val="44"/>
          <w:lang w:eastAsia="zh-CN"/>
        </w:rPr>
        <w:t>信息公开报告</w:t>
      </w:r>
      <w:bookmarkEnd w:id="0"/>
      <w:bookmarkEnd w:id="1"/>
    </w:p>
    <w:bookmarkEnd w:id="32"/>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bookmarkStart w:id="7" w:name="_Toc512331996"/>
    </w:p>
    <w:bookmarkEnd w:id="2"/>
    <w:bookmarkEnd w:id="3"/>
    <w:bookmarkEnd w:id="4"/>
    <w:bookmarkEnd w:id="5"/>
    <w:bookmarkEnd w:id="6"/>
    <w:bookmarkEnd w:id="7"/>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bookmarkStart w:id="8" w:name="_Toc40444453"/>
      <w:bookmarkStart w:id="9" w:name="_Toc40429420"/>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龙岗</w:t>
      </w:r>
      <w:r>
        <w:rPr>
          <w:rFonts w:hint="eastAsia" w:ascii="仿宋_GB2312" w:hAnsi="仿宋_GB2312" w:eastAsia="仿宋_GB2312" w:cs="仿宋_GB2312"/>
          <w:color w:val="auto"/>
          <w:sz w:val="32"/>
          <w:szCs w:val="32"/>
        </w:rPr>
        <w:t>区生态环境质量稳中向好。空气质量PM</w:t>
      </w:r>
      <w:r>
        <w:rPr>
          <w:rFonts w:hint="eastAsia" w:ascii="仿宋_GB2312" w:hAnsi="仿宋_GB2312" w:eastAsia="仿宋_GB2312" w:cs="仿宋_GB2312"/>
          <w:color w:val="auto"/>
          <w:sz w:val="32"/>
          <w:szCs w:val="32"/>
          <w:vertAlign w:val="subscript"/>
        </w:rPr>
        <w:t>2.5</w:t>
      </w:r>
      <w:r>
        <w:rPr>
          <w:rFonts w:hint="eastAsia" w:ascii="仿宋_GB2312" w:hAnsi="仿宋_GB2312" w:eastAsia="仿宋_GB2312" w:cs="仿宋_GB2312"/>
          <w:color w:val="auto"/>
          <w:sz w:val="32"/>
          <w:szCs w:val="32"/>
          <w:lang w:val="en-US" w:eastAsia="zh-CN"/>
        </w:rPr>
        <w:t>再</w:t>
      </w:r>
      <w:r>
        <w:rPr>
          <w:rFonts w:hint="eastAsia" w:ascii="仿宋_GB2312" w:hAnsi="仿宋_GB2312" w:eastAsia="仿宋_GB2312" w:cs="仿宋_GB2312"/>
          <w:color w:val="auto"/>
          <w:sz w:val="32"/>
          <w:szCs w:val="32"/>
        </w:rPr>
        <w:t>创</w:t>
      </w:r>
      <w:r>
        <w:rPr>
          <w:rFonts w:hint="eastAsia" w:ascii="仿宋_GB2312" w:hAnsi="仿宋_GB2312" w:eastAsia="仿宋_GB2312" w:cs="仿宋_GB2312"/>
          <w:color w:val="auto"/>
          <w:sz w:val="32"/>
          <w:szCs w:val="32"/>
          <w:lang w:val="en-US" w:eastAsia="zh-CN"/>
        </w:rPr>
        <w:t>新低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河流水质</w:t>
      </w:r>
      <w:r>
        <w:rPr>
          <w:rFonts w:hint="eastAsia" w:ascii="仿宋_GB2312" w:hAnsi="仿宋_GB2312" w:eastAsia="仿宋_GB2312" w:cs="仿宋_GB2312"/>
          <w:color w:val="auto"/>
          <w:sz w:val="32"/>
          <w:szCs w:val="32"/>
          <w:lang w:val="en-US" w:eastAsia="zh-CN"/>
        </w:rPr>
        <w:t>改善明显，</w:t>
      </w:r>
      <w:r>
        <w:rPr>
          <w:rFonts w:hint="eastAsia" w:ascii="仿宋_GB2312" w:hAnsi="仿宋_GB2312" w:eastAsia="仿宋_GB2312" w:cs="仿宋_GB2312"/>
          <w:color w:val="auto"/>
          <w:sz w:val="32"/>
          <w:szCs w:val="32"/>
        </w:rPr>
        <w:t>全年2类、3类声环境功能区均达标。</w:t>
      </w:r>
      <w:r>
        <w:rPr>
          <w:rFonts w:hint="eastAsia" w:ascii="仿宋_GB2312" w:hAnsi="仿宋_GB2312" w:eastAsia="仿宋_GB2312" w:cs="仿宋_GB2312"/>
          <w:color w:val="auto"/>
          <w:sz w:val="32"/>
          <w:szCs w:val="32"/>
          <w:lang w:bidi="ar"/>
        </w:rPr>
        <w:t>全区生态环境</w:t>
      </w:r>
      <w:r>
        <w:rPr>
          <w:rFonts w:hint="eastAsia" w:ascii="仿宋_GB2312" w:hAnsi="仿宋_GB2312" w:eastAsia="仿宋_GB2312" w:cs="仿宋_GB2312"/>
          <w:color w:val="auto"/>
          <w:sz w:val="32"/>
          <w:szCs w:val="32"/>
          <w:lang w:val="en-US" w:eastAsia="zh-CN" w:bidi="ar"/>
        </w:rPr>
        <w:t>质量</w:t>
      </w:r>
      <w:r>
        <w:rPr>
          <w:rFonts w:hint="eastAsia" w:ascii="仿宋_GB2312" w:hAnsi="仿宋_GB2312" w:eastAsia="仿宋_GB2312" w:cs="仿宋_GB2312"/>
          <w:color w:val="auto"/>
          <w:sz w:val="32"/>
          <w:szCs w:val="32"/>
          <w:lang w:bidi="ar"/>
        </w:rPr>
        <w:t>不断改善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44"/>
          <w:sz w:val="32"/>
          <w:szCs w:val="32"/>
          <w:lang w:val="zh-CN"/>
        </w:rPr>
      </w:pPr>
      <w:r>
        <w:rPr>
          <w:rFonts w:hint="eastAsia" w:ascii="黑体" w:hAnsi="黑体" w:eastAsia="黑体" w:cs="黑体"/>
          <w:b w:val="0"/>
          <w:bCs w:val="0"/>
          <w:color w:val="auto"/>
          <w:kern w:val="44"/>
          <w:sz w:val="32"/>
          <w:szCs w:val="32"/>
          <w:lang w:val="zh-CN"/>
        </w:rPr>
        <w:t>一、环境空气质量</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10" w:name="_Toc355603593"/>
      <w:bookmarkStart w:id="11" w:name="_Toc347002317"/>
      <w:bookmarkStart w:id="12" w:name="_Toc345321930"/>
      <w:bookmarkStart w:id="13" w:name="_Toc505779622"/>
      <w:bookmarkStart w:id="14" w:name="_Toc40429421"/>
      <w:bookmarkStart w:id="15" w:name="_Toc40444454"/>
      <w:r>
        <w:rPr>
          <w:rFonts w:hint="eastAsia" w:ascii="楷体_GB2312" w:hAnsi="楷体_GB2312" w:eastAsia="楷体_GB2312" w:cs="楷体_GB2312"/>
          <w:b w:val="0"/>
          <w:bCs w:val="0"/>
          <w:color w:val="auto"/>
          <w:kern w:val="44"/>
          <w:sz w:val="32"/>
          <w:szCs w:val="32"/>
          <w:lang w:val="zh-CN"/>
        </w:rPr>
        <w:t>（一）空气环境</w:t>
      </w:r>
      <w:bookmarkEnd w:id="10"/>
      <w:bookmarkEnd w:id="11"/>
      <w:bookmarkEnd w:id="12"/>
      <w:bookmarkEnd w:id="13"/>
      <w:r>
        <w:rPr>
          <w:rFonts w:hint="eastAsia" w:ascii="楷体_GB2312" w:hAnsi="楷体_GB2312" w:eastAsia="楷体_GB2312" w:cs="楷体_GB2312"/>
          <w:b w:val="0"/>
          <w:bCs w:val="0"/>
          <w:color w:val="auto"/>
          <w:kern w:val="44"/>
          <w:sz w:val="32"/>
          <w:szCs w:val="32"/>
          <w:lang w:val="zh-CN"/>
        </w:rPr>
        <w:t>质量现状</w:t>
      </w:r>
      <w:bookmarkEnd w:id="14"/>
      <w:bookmarkEnd w:id="15"/>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年，龙岗区环境空气有效监测天数为365天，环境空气质量达到Ⅰ级（优）的天数为</w:t>
      </w:r>
      <w:r>
        <w:rPr>
          <w:rFonts w:hint="eastAsia"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rPr>
        <w:t>天，达到Ⅱ级（良）的天数为</w:t>
      </w:r>
      <w:r>
        <w:rPr>
          <w:rFonts w:hint="eastAsia" w:ascii="仿宋_GB2312" w:hAnsi="仿宋_GB2312" w:eastAsia="仿宋_GB2312" w:cs="仿宋_GB2312"/>
          <w:color w:val="auto"/>
          <w:sz w:val="32"/>
          <w:szCs w:val="32"/>
          <w:lang w:val="en-US" w:eastAsia="zh-CN"/>
        </w:rPr>
        <w:t>127</w:t>
      </w:r>
      <w:r>
        <w:rPr>
          <w:rFonts w:hint="eastAsia" w:ascii="仿宋_GB2312" w:hAnsi="仿宋_GB2312" w:eastAsia="仿宋_GB2312" w:cs="仿宋_GB2312"/>
          <w:color w:val="auto"/>
          <w:sz w:val="32"/>
          <w:szCs w:val="32"/>
        </w:rPr>
        <w:t>天，龙岗区空气质量优良率为9</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SO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、NO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、PM</w:t>
      </w:r>
      <w:r>
        <w:rPr>
          <w:rFonts w:hint="eastAsia" w:ascii="仿宋_GB2312" w:hAnsi="仿宋_GB2312" w:eastAsia="仿宋_GB2312" w:cs="仿宋_GB2312"/>
          <w:color w:val="auto"/>
          <w:sz w:val="32"/>
          <w:szCs w:val="32"/>
          <w:vertAlign w:val="subscript"/>
        </w:rPr>
        <w:t>10</w:t>
      </w:r>
      <w:r>
        <w:rPr>
          <w:rFonts w:hint="eastAsia" w:ascii="仿宋_GB2312" w:hAnsi="仿宋_GB2312" w:eastAsia="仿宋_GB2312" w:cs="仿宋_GB2312"/>
          <w:color w:val="auto"/>
          <w:sz w:val="32"/>
          <w:szCs w:val="32"/>
        </w:rPr>
        <w:t>、PM</w:t>
      </w:r>
      <w:r>
        <w:rPr>
          <w:rFonts w:hint="eastAsia" w:ascii="仿宋_GB2312" w:hAnsi="仿宋_GB2312" w:eastAsia="仿宋_GB2312" w:cs="仿宋_GB2312"/>
          <w:color w:val="auto"/>
          <w:sz w:val="32"/>
          <w:szCs w:val="32"/>
          <w:vertAlign w:val="subscript"/>
        </w:rPr>
        <w:t>2.5</w:t>
      </w:r>
      <w:r>
        <w:rPr>
          <w:rFonts w:hint="eastAsia" w:ascii="仿宋_GB2312" w:hAnsi="仿宋_GB2312" w:eastAsia="仿宋_GB2312" w:cs="仿宋_GB2312"/>
          <w:color w:val="auto"/>
          <w:sz w:val="32"/>
          <w:szCs w:val="32"/>
        </w:rPr>
        <w:t>、CO平均浓度和臭氧评价浓度分别为5微克/立方米、2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微克/立方米、</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微克/立方米、</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微克/立方米、0.6毫克/立方米和1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9微克/立方米。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16" w:name="_Toc40429422"/>
      <w:bookmarkStart w:id="17" w:name="_Toc40444455"/>
      <w:r>
        <w:rPr>
          <w:rFonts w:hint="eastAsia" w:ascii="楷体_GB2312" w:hAnsi="楷体_GB2312" w:eastAsia="楷体_GB2312" w:cs="楷体_GB2312"/>
          <w:b w:val="0"/>
          <w:bCs w:val="0"/>
          <w:color w:val="auto"/>
          <w:kern w:val="44"/>
          <w:sz w:val="32"/>
          <w:szCs w:val="32"/>
          <w:lang w:val="zh-CN"/>
        </w:rPr>
        <w:t>（二）</w:t>
      </w:r>
      <w:bookmarkEnd w:id="16"/>
      <w:bookmarkEnd w:id="17"/>
      <w:r>
        <w:rPr>
          <w:rFonts w:hint="eastAsia" w:ascii="楷体_GB2312" w:hAnsi="楷体_GB2312" w:eastAsia="楷体_GB2312" w:cs="楷体_GB2312"/>
          <w:b w:val="0"/>
          <w:bCs w:val="0"/>
          <w:color w:val="auto"/>
          <w:kern w:val="44"/>
          <w:sz w:val="32"/>
          <w:szCs w:val="32"/>
          <w:lang w:val="zh-CN"/>
        </w:rPr>
        <w:t>措施与行动</w:t>
      </w:r>
    </w:p>
    <w:p>
      <w:pPr>
        <w:pStyle w:val="2"/>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bookmarkStart w:id="18" w:name="_Toc40444457"/>
      <w:bookmarkStart w:id="19" w:name="_Toc40429424"/>
      <w:bookmarkStart w:id="20" w:name="_Toc512332003"/>
      <w:r>
        <w:rPr>
          <w:rFonts w:hint="eastAsia" w:ascii="仿宋_GB2312" w:hAnsi="仿宋_GB2312" w:eastAsia="仿宋_GB2312" w:cs="仿宋_GB2312"/>
          <w:b/>
          <w:bCs/>
          <w:color w:val="auto"/>
          <w:sz w:val="32"/>
          <w:szCs w:val="32"/>
          <w:lang w:val="en-US" w:eastAsia="zh-CN"/>
        </w:rPr>
        <w:t>一是加强移动源污染治理。</w:t>
      </w:r>
      <w:r>
        <w:rPr>
          <w:rFonts w:hint="eastAsia" w:ascii="仿宋_GB2312" w:hAnsi="仿宋_GB2312" w:eastAsia="仿宋_GB2312" w:cs="仿宋_GB2312"/>
          <w:b w:val="0"/>
          <w:bCs w:val="0"/>
          <w:color w:val="auto"/>
          <w:sz w:val="32"/>
          <w:szCs w:val="32"/>
          <w:lang w:val="en-US" w:eastAsia="zh-CN"/>
        </w:rPr>
        <w:t>本年度</w:t>
      </w:r>
      <w:r>
        <w:rPr>
          <w:rFonts w:hint="eastAsia" w:ascii="仿宋_GB2312" w:hAnsi="仿宋_GB2312" w:eastAsia="仿宋_GB2312" w:cs="仿宋_GB2312"/>
          <w:color w:val="auto"/>
          <w:sz w:val="32"/>
          <w:szCs w:val="32"/>
          <w:lang w:val="en-US" w:eastAsia="zh-CN"/>
        </w:rPr>
        <w:t>完成机动车人工路检1603辆次，完成机动车遥测路检31470辆次，完成非道路移动机械的检测253台次，完成施工工地、工业企业非道路移动机械二维码张贴1445台。</w:t>
      </w:r>
      <w:r>
        <w:rPr>
          <w:rFonts w:hint="eastAsia" w:ascii="仿宋_GB2312" w:hAnsi="仿宋_GB2312" w:eastAsia="仿宋_GB2312" w:cs="仿宋_GB2312"/>
          <w:b/>
          <w:bCs/>
          <w:color w:val="auto"/>
          <w:sz w:val="32"/>
          <w:szCs w:val="32"/>
          <w:lang w:val="en-US" w:eastAsia="zh-CN"/>
        </w:rPr>
        <w:t>二是促进工业污染减排</w:t>
      </w:r>
      <w:r>
        <w:rPr>
          <w:rFonts w:hint="eastAsia" w:ascii="仿宋_GB2312" w:hAnsi="仿宋_GB2312" w:eastAsia="仿宋_GB2312" w:cs="仿宋_GB2312"/>
          <w:color w:val="auto"/>
          <w:sz w:val="32"/>
          <w:szCs w:val="32"/>
          <w:lang w:val="en-US" w:eastAsia="zh-CN"/>
        </w:rPr>
        <w:t>。推进13家涉VOCs排放企业完成深度治理，完</w:t>
      </w:r>
      <w:r>
        <w:rPr>
          <w:rFonts w:hint="eastAsia" w:ascii="仿宋_GB2312" w:hAnsi="仿宋_GB2312" w:eastAsia="仿宋_GB2312" w:cs="仿宋_GB2312"/>
          <w:b w:val="0"/>
          <w:bCs w:val="0"/>
          <w:color w:val="auto"/>
          <w:sz w:val="32"/>
          <w:szCs w:val="32"/>
          <w:highlight w:val="none"/>
          <w:lang w:val="en-US" w:eastAsia="zh-CN"/>
        </w:rPr>
        <w:t>成72家企业分级管理工作</w:t>
      </w:r>
      <w:r>
        <w:rPr>
          <w:rFonts w:hint="eastAsia" w:ascii="仿宋_GB2312" w:hAnsi="仿宋_GB2312" w:eastAsia="仿宋_GB2312" w:cs="仿宋_GB2312"/>
          <w:color w:val="auto"/>
          <w:sz w:val="32"/>
          <w:szCs w:val="32"/>
          <w:lang w:val="en-US" w:eastAsia="zh-CN"/>
        </w:rPr>
        <w:t>；完成32台工业锅炉低氮燃烧器改造；对辖区内</w:t>
      </w:r>
      <w:r>
        <w:rPr>
          <w:rFonts w:hint="eastAsia" w:ascii="仿宋_GB2312" w:hAnsi="仿宋_GB2312" w:eastAsia="仿宋_GB2312" w:cs="仿宋_GB2312"/>
          <w:b w:val="0"/>
          <w:bCs w:val="0"/>
          <w:color w:val="auto"/>
          <w:sz w:val="32"/>
          <w:szCs w:val="32"/>
          <w:highlight w:val="none"/>
          <w:lang w:val="en-US" w:eastAsia="zh-CN"/>
        </w:rPr>
        <w:t>163</w:t>
      </w:r>
      <w:r>
        <w:rPr>
          <w:rFonts w:hint="eastAsia" w:ascii="仿宋_GB2312" w:hAnsi="仿宋_GB2312" w:eastAsia="仿宋_GB2312" w:cs="仿宋_GB2312"/>
          <w:b w:val="0"/>
          <w:bCs w:val="0"/>
          <w:color w:val="auto"/>
          <w:sz w:val="32"/>
          <w:szCs w:val="32"/>
          <w:highlight w:val="none"/>
          <w:lang w:eastAsia="zh-Hans"/>
        </w:rPr>
        <w:t>家</w:t>
      </w:r>
      <w:r>
        <w:rPr>
          <w:rFonts w:hint="eastAsia" w:ascii="仿宋_GB2312" w:hAnsi="仿宋_GB2312" w:eastAsia="仿宋_GB2312" w:cs="仿宋_GB2312"/>
          <w:b w:val="0"/>
          <w:bCs w:val="0"/>
          <w:color w:val="auto"/>
          <w:sz w:val="32"/>
          <w:szCs w:val="32"/>
          <w:highlight w:val="none"/>
          <w:lang w:eastAsia="zh-CN"/>
        </w:rPr>
        <w:t>次</w:t>
      </w:r>
      <w:r>
        <w:rPr>
          <w:rFonts w:hint="eastAsia" w:ascii="仿宋_GB2312" w:hAnsi="仿宋_GB2312" w:eastAsia="仿宋_GB2312" w:cs="仿宋_GB2312"/>
          <w:b w:val="0"/>
          <w:bCs w:val="0"/>
          <w:color w:val="auto"/>
          <w:sz w:val="32"/>
          <w:szCs w:val="32"/>
          <w:highlight w:val="none"/>
          <w:lang w:eastAsia="zh-Hans"/>
        </w:rPr>
        <w:t>VOCs企业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75家次锅炉企业</w:t>
      </w:r>
      <w:r>
        <w:rPr>
          <w:rFonts w:hint="eastAsia" w:ascii="仿宋_GB2312" w:hAnsi="仿宋_GB2312" w:eastAsia="仿宋_GB2312" w:cs="仿宋_GB2312"/>
          <w:b w:val="0"/>
          <w:bCs w:val="0"/>
          <w:color w:val="auto"/>
          <w:sz w:val="32"/>
          <w:szCs w:val="32"/>
          <w:highlight w:val="none"/>
          <w:lang w:eastAsia="zh-Hans"/>
        </w:rPr>
        <w:t>排放量</w:t>
      </w:r>
      <w:r>
        <w:rPr>
          <w:rFonts w:hint="eastAsia" w:ascii="仿宋_GB2312" w:hAnsi="仿宋_GB2312" w:eastAsia="仿宋_GB2312" w:cs="仿宋_GB2312"/>
          <w:b w:val="0"/>
          <w:bCs w:val="0"/>
          <w:color w:val="auto"/>
          <w:sz w:val="32"/>
          <w:szCs w:val="32"/>
          <w:highlight w:val="none"/>
          <w:lang w:eastAsia="zh-CN"/>
        </w:rPr>
        <w:t>季度滚动</w:t>
      </w:r>
      <w:r>
        <w:rPr>
          <w:rFonts w:hint="eastAsia" w:ascii="仿宋_GB2312" w:hAnsi="仿宋_GB2312" w:eastAsia="仿宋_GB2312" w:cs="仿宋_GB2312"/>
          <w:b w:val="0"/>
          <w:bCs w:val="0"/>
          <w:color w:val="auto"/>
          <w:sz w:val="32"/>
          <w:szCs w:val="32"/>
          <w:highlight w:val="none"/>
          <w:lang w:eastAsia="zh-Hans"/>
        </w:rPr>
        <w:t>核算</w:t>
      </w:r>
      <w:r>
        <w:rPr>
          <w:rFonts w:hint="eastAsia" w:ascii="仿宋_GB2312" w:hAnsi="仿宋_GB2312" w:eastAsia="仿宋_GB2312" w:cs="仿宋_GB2312"/>
          <w:b w:val="0"/>
          <w:bCs w:val="0"/>
          <w:color w:val="auto"/>
          <w:sz w:val="32"/>
          <w:szCs w:val="32"/>
          <w:highlight w:val="none"/>
          <w:lang w:eastAsia="zh-CN"/>
        </w:rPr>
        <w:t>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三是扬尘污染管控。</w:t>
      </w:r>
      <w:r>
        <w:rPr>
          <w:rFonts w:hint="eastAsia" w:ascii="仿宋_GB2312" w:hAnsi="仿宋_GB2312" w:eastAsia="仿宋_GB2312" w:cs="仿宋_GB2312"/>
          <w:color w:val="auto"/>
          <w:sz w:val="32"/>
          <w:szCs w:val="32"/>
          <w:lang w:val="en-US" w:eastAsia="zh-CN"/>
        </w:rPr>
        <w:t>统筹道路扬尘治理，</w:t>
      </w:r>
      <w:r>
        <w:rPr>
          <w:rFonts w:hint="eastAsia" w:ascii="仿宋_GB2312" w:hAnsi="仿宋_GB2312" w:eastAsia="仿宋_GB2312" w:cs="仿宋_GB2312"/>
          <w:color w:val="auto"/>
          <w:sz w:val="32"/>
          <w:szCs w:val="36"/>
        </w:rPr>
        <w:t>创新区“生态+纪委+组织部+督察室”联合统筹督办的道路扬尘治理长效机制，</w:t>
      </w:r>
      <w:r>
        <w:rPr>
          <w:rFonts w:hint="eastAsia" w:ascii="仿宋_GB2312" w:hAnsi="仿宋_GB2312" w:eastAsia="仿宋_GB2312" w:cs="仿宋_GB2312"/>
          <w:color w:val="auto"/>
          <w:sz w:val="32"/>
          <w:szCs w:val="32"/>
          <w:lang w:val="en-US" w:eastAsia="zh-CN"/>
        </w:rPr>
        <w:t>联合</w:t>
      </w:r>
      <w:r>
        <w:rPr>
          <w:rFonts w:hint="eastAsia" w:ascii="仿宋_GB2312" w:hAnsi="仿宋_GB2312" w:eastAsia="仿宋_GB2312" w:cs="仿宋_GB2312"/>
          <w:snapToGrid w:val="0"/>
          <w:color w:val="auto"/>
          <w:spacing w:val="11"/>
          <w:kern w:val="0"/>
          <w:sz w:val="32"/>
          <w:szCs w:val="32"/>
          <w:highlight w:val="none"/>
          <w:lang w:val="en-US" w:eastAsia="zh-CN"/>
        </w:rPr>
        <w:t>开展</w:t>
      </w:r>
      <w:r>
        <w:rPr>
          <w:rFonts w:hint="eastAsia" w:ascii="仿宋_GB2312" w:hAnsi="仿宋_GB2312" w:eastAsia="仿宋_GB2312" w:cs="仿宋_GB2312"/>
          <w:color w:val="auto"/>
          <w:sz w:val="32"/>
          <w:szCs w:val="32"/>
          <w:highlight w:val="none"/>
          <w:u w:val="none"/>
          <w:lang w:val="en-US" w:eastAsia="zh-CN"/>
        </w:rPr>
        <w:t>泥头车扬尘污染专项整治联合行动，</w:t>
      </w:r>
      <w:r>
        <w:rPr>
          <w:rFonts w:hint="eastAsia" w:ascii="仿宋_GB2312" w:hAnsi="仿宋_GB2312" w:eastAsia="仿宋_GB2312" w:cs="仿宋_GB2312"/>
          <w:color w:val="auto"/>
          <w:sz w:val="32"/>
          <w:szCs w:val="32"/>
          <w:lang w:val="en-US" w:eastAsia="zh-CN"/>
        </w:rPr>
        <w:t>开展裸土地复绿抽查督办工作。</w:t>
      </w:r>
      <w:r>
        <w:rPr>
          <w:rFonts w:hint="eastAsia" w:ascii="仿宋_GB2312" w:hAnsi="仿宋_GB2312" w:eastAsia="仿宋_GB2312" w:cs="仿宋_GB2312"/>
          <w:b/>
          <w:bCs/>
          <w:color w:val="auto"/>
          <w:sz w:val="32"/>
          <w:szCs w:val="32"/>
          <w:lang w:val="en-US" w:eastAsia="zh-CN"/>
        </w:rPr>
        <w:t>四是不利天气应对。</w:t>
      </w:r>
      <w:r>
        <w:rPr>
          <w:rFonts w:hint="eastAsia" w:ascii="仿宋_GB2312" w:hAnsi="仿宋_GB2312" w:eastAsia="仿宋_GB2312" w:cs="仿宋_GB2312"/>
          <w:color w:val="auto"/>
          <w:sz w:val="32"/>
          <w:szCs w:val="32"/>
          <w:lang w:val="en-US" w:eastAsia="zh-CN"/>
        </w:rPr>
        <w:t>强化大气污染防治专项督查，全年组织实施12次大气污染强化减排工作，严格落实各项减排措施。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44"/>
          <w:sz w:val="32"/>
          <w:szCs w:val="32"/>
          <w:lang w:val="zh-CN"/>
        </w:rPr>
      </w:pPr>
      <w:r>
        <w:rPr>
          <w:rFonts w:hint="eastAsia" w:ascii="黑体" w:hAnsi="黑体" w:eastAsia="黑体" w:cs="黑体"/>
          <w:b w:val="0"/>
          <w:bCs w:val="0"/>
          <w:color w:val="auto"/>
          <w:kern w:val="44"/>
          <w:sz w:val="32"/>
          <w:szCs w:val="32"/>
          <w:lang w:val="zh-CN"/>
        </w:rPr>
        <w:t>二、河流水环境质量</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21" w:name="_Toc40444458"/>
      <w:bookmarkStart w:id="22" w:name="_Toc40429425"/>
      <w:r>
        <w:rPr>
          <w:rFonts w:hint="eastAsia" w:ascii="楷体_GB2312" w:hAnsi="楷体_GB2312" w:eastAsia="楷体_GB2312" w:cs="楷体_GB2312"/>
          <w:b w:val="0"/>
          <w:bCs w:val="0"/>
          <w:color w:val="auto"/>
          <w:kern w:val="44"/>
          <w:sz w:val="32"/>
          <w:szCs w:val="32"/>
          <w:lang w:val="zh-CN"/>
        </w:rPr>
        <w:t>（一）河流水环境质量现状</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，龙岗区62条河中有54条河流（66个监测断面）纳入监测，其中，Ⅱ类水13个，Ⅲ类水28个，Ⅳ类水21个，Ⅴ类水2个，劣Ⅴ类水2个。</w:t>
      </w:r>
      <w:r>
        <w:rPr>
          <w:rFonts w:hint="eastAsia" w:ascii="仿宋_GB2312" w:hAnsi="仿宋_GB2312" w:eastAsia="仿宋_GB2312" w:cs="仿宋_GB2312"/>
          <w:color w:val="auto"/>
          <w:sz w:val="32"/>
          <w:szCs w:val="32"/>
        </w:rPr>
        <w:t>龙岗区河流水质指数</w:t>
      </w:r>
      <w:r>
        <w:rPr>
          <w:rFonts w:hint="eastAsia" w:ascii="仿宋_GB2312" w:hAnsi="仿宋_GB2312" w:eastAsia="仿宋_GB2312" w:cs="仿宋_GB2312"/>
          <w:bCs/>
          <w:color w:val="auto"/>
          <w:sz w:val="32"/>
          <w:szCs w:val="32"/>
        </w:rPr>
        <w:t>全市排名</w:t>
      </w:r>
      <w:r>
        <w:rPr>
          <w:rFonts w:hint="eastAsia" w:ascii="仿宋_GB2312" w:hAnsi="仿宋_GB2312" w:eastAsia="仿宋_GB2312" w:cs="仿宋_GB2312"/>
          <w:b/>
          <w:bCs/>
          <w:color w:val="auto"/>
          <w:sz w:val="32"/>
          <w:szCs w:val="32"/>
        </w:rPr>
        <w:t>第9</w:t>
      </w:r>
      <w:r>
        <w:rPr>
          <w:rFonts w:hint="eastAsia" w:ascii="仿宋_GB2312" w:hAnsi="仿宋_GB2312" w:eastAsia="仿宋_GB2312" w:cs="仿宋_GB2312"/>
          <w:color w:val="auto"/>
          <w:sz w:val="32"/>
          <w:szCs w:val="32"/>
        </w:rPr>
        <w:t>，河流水质指数同比</w:t>
      </w:r>
      <w:bookmarkStart w:id="23" w:name="_Hlk93332024"/>
      <w:r>
        <w:rPr>
          <w:rFonts w:hint="eastAsia" w:ascii="仿宋_GB2312" w:hAnsi="仿宋_GB2312" w:eastAsia="仿宋_GB2312" w:cs="仿宋_GB2312"/>
          <w:color w:val="auto"/>
          <w:sz w:val="32"/>
          <w:szCs w:val="32"/>
        </w:rPr>
        <w:t>下降8.84%</w:t>
      </w:r>
      <w:bookmarkEnd w:id="23"/>
      <w:r>
        <w:rPr>
          <w:rFonts w:hint="eastAsia" w:ascii="仿宋_GB2312" w:hAnsi="仿宋_GB2312" w:eastAsia="仿宋_GB2312" w:cs="仿宋_GB2312"/>
          <w:color w:val="auto"/>
          <w:sz w:val="32"/>
          <w:szCs w:val="32"/>
        </w:rPr>
        <w:t>，河流改善幅度</w:t>
      </w:r>
      <w:r>
        <w:rPr>
          <w:rFonts w:hint="eastAsia" w:ascii="仿宋_GB2312" w:hAnsi="仿宋_GB2312" w:eastAsia="仿宋_GB2312" w:cs="仿宋_GB2312"/>
          <w:bCs/>
          <w:color w:val="auto"/>
          <w:sz w:val="32"/>
          <w:szCs w:val="32"/>
        </w:rPr>
        <w:t>全市排名</w:t>
      </w:r>
      <w:r>
        <w:rPr>
          <w:rFonts w:hint="eastAsia" w:ascii="仿宋_GB2312" w:hAnsi="仿宋_GB2312" w:eastAsia="仿宋_GB2312" w:cs="仿宋_GB2312"/>
          <w:b/>
          <w:bCs/>
          <w:color w:val="auto"/>
          <w:sz w:val="32"/>
          <w:szCs w:val="32"/>
        </w:rPr>
        <w:t>第4</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24" w:name="_Toc512332009"/>
      <w:r>
        <w:rPr>
          <w:rFonts w:hint="eastAsia" w:ascii="楷体_GB2312" w:hAnsi="楷体_GB2312" w:eastAsia="楷体_GB2312" w:cs="楷体_GB2312"/>
          <w:b w:val="0"/>
          <w:bCs w:val="0"/>
          <w:color w:val="auto"/>
          <w:kern w:val="44"/>
          <w:sz w:val="32"/>
          <w:szCs w:val="32"/>
          <w:lang w:val="zh-CN"/>
        </w:rPr>
        <w:t>（二）措施与行动</w:t>
      </w:r>
    </w:p>
    <w:p>
      <w:pPr>
        <w:keepNext w:val="0"/>
        <w:keepLines w:val="0"/>
        <w:pageBreakBefore w:val="0"/>
        <w:widowControl w:val="0"/>
        <w:kinsoku/>
        <w:wordWrap/>
        <w:overflowPunct/>
        <w:topLinePunct w:val="0"/>
        <w:autoSpaceDE/>
        <w:autoSpaceDN/>
        <w:bidi w:val="0"/>
        <w:adjustRightInd/>
        <w:snapToGrid w:val="0"/>
        <w:spacing w:before="0"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25" w:name="_Toc40444461"/>
      <w:bookmarkStart w:id="26" w:name="_Toc40429428"/>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bCs/>
          <w:color w:val="auto"/>
          <w:sz w:val="32"/>
          <w:szCs w:val="32"/>
          <w:highlight w:val="none"/>
        </w:rPr>
        <w:t>开展水污染治理下沉督办工作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落实三大流域内水质监测、预警、通报、日常巡查问题督促整改工作，</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龙岗区下沉督办组累计出动</w:t>
      </w:r>
      <w:r>
        <w:rPr>
          <w:rFonts w:hint="eastAsia" w:ascii="仿宋_GB2312" w:hAnsi="仿宋_GB2312" w:eastAsia="仿宋_GB2312" w:cs="仿宋_GB2312"/>
          <w:color w:val="auto"/>
          <w:sz w:val="32"/>
          <w:szCs w:val="32"/>
          <w:highlight w:val="none"/>
          <w:lang w:val="en-US" w:eastAsia="zh-CN"/>
        </w:rPr>
        <w:t>17488</w:t>
      </w:r>
      <w:r>
        <w:rPr>
          <w:rFonts w:hint="eastAsia" w:ascii="仿宋_GB2312" w:hAnsi="仿宋_GB2312" w:eastAsia="仿宋_GB2312" w:cs="仿宋_GB2312"/>
          <w:color w:val="auto"/>
          <w:sz w:val="32"/>
          <w:szCs w:val="32"/>
          <w:highlight w:val="none"/>
        </w:rPr>
        <w:t>人次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auto"/>
          <w:sz w:val="32"/>
          <w:szCs w:val="32"/>
          <w:highlight w:val="none"/>
        </w:rPr>
        <w:t>统筹推进全区涉水面源污染长效治理工作。</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龙岗区涉水面源污染</w:t>
      </w:r>
      <w:r>
        <w:rPr>
          <w:rFonts w:hint="eastAsia" w:ascii="仿宋_GB2312" w:hAnsi="仿宋_GB2312" w:eastAsia="仿宋_GB2312" w:cs="仿宋_GB2312"/>
          <w:color w:val="auto"/>
          <w:sz w:val="32"/>
          <w:szCs w:val="32"/>
          <w:lang w:eastAsia="zh-CN"/>
        </w:rPr>
        <w:t>长效治理</w:t>
      </w:r>
      <w:r>
        <w:rPr>
          <w:rFonts w:hint="eastAsia" w:ascii="仿宋_GB2312" w:hAnsi="仿宋_GB2312" w:eastAsia="仿宋_GB2312" w:cs="仿宋_GB2312"/>
          <w:color w:val="auto"/>
          <w:sz w:val="32"/>
          <w:szCs w:val="32"/>
        </w:rPr>
        <w:t>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强化督办考核，</w:t>
      </w:r>
      <w:r>
        <w:rPr>
          <w:rFonts w:hint="eastAsia" w:ascii="仿宋_GB2312" w:hAnsi="仿宋_GB2312" w:eastAsia="仿宋_GB2312" w:cs="仿宋_GB2312"/>
          <w:color w:val="auto"/>
          <w:sz w:val="32"/>
          <w:szCs w:val="32"/>
        </w:rPr>
        <w:t>将面源污染整治工作纳入</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区生态文明</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b w:val="0"/>
          <w:bCs w:val="0"/>
          <w:color w:val="auto"/>
          <w:kern w:val="2"/>
          <w:sz w:val="32"/>
          <w:szCs w:val="32"/>
          <w:highlight w:val="none"/>
          <w:lang w:val="en-US" w:eastAsia="zh-CN" w:bidi="ar-SA"/>
        </w:rPr>
        <w:t>共排查涉水面源底数</w:t>
      </w:r>
      <w:r>
        <w:rPr>
          <w:rFonts w:hint="eastAsia" w:ascii="仿宋_GB2312" w:hAnsi="仿宋_GB2312" w:eastAsia="仿宋_GB2312" w:cs="仿宋_GB2312"/>
          <w:b w:val="0"/>
          <w:bCs w:val="0"/>
          <w:color w:val="auto"/>
          <w:kern w:val="2"/>
          <w:sz w:val="32"/>
          <w:szCs w:val="32"/>
          <w:highlight w:val="none"/>
          <w:lang w:eastAsia="zh-CN" w:bidi="ar-SA"/>
        </w:rPr>
        <w:t>151039</w:t>
      </w:r>
      <w:r>
        <w:rPr>
          <w:rFonts w:hint="eastAsia" w:ascii="仿宋_GB2312" w:hAnsi="仿宋_GB2312" w:eastAsia="仿宋_GB2312" w:cs="仿宋_GB2312"/>
          <w:b w:val="0"/>
          <w:bCs w:val="0"/>
          <w:color w:val="auto"/>
          <w:kern w:val="2"/>
          <w:sz w:val="32"/>
          <w:szCs w:val="32"/>
          <w:highlight w:val="none"/>
          <w:lang w:val="en-US" w:eastAsia="zh-CN" w:bidi="ar-SA"/>
        </w:rPr>
        <w:t>个。</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bCs/>
          <w:color w:val="auto"/>
          <w:sz w:val="32"/>
          <w:szCs w:val="32"/>
          <w:highlight w:val="none"/>
        </w:rPr>
        <w:t>做好河流水质考核通报、督办工作。</w:t>
      </w:r>
      <w:r>
        <w:rPr>
          <w:rFonts w:hint="eastAsia" w:ascii="仿宋_GB2312" w:hAnsi="仿宋_GB2312" w:eastAsia="仿宋_GB2312" w:cs="仿宋_GB2312"/>
          <w:color w:val="auto"/>
          <w:sz w:val="32"/>
          <w:szCs w:val="32"/>
          <w:highlight w:val="none"/>
        </w:rPr>
        <w:t>对一周一测、一日一测等监测数据进行收集、分析，及时将水环境质量通报至</w:t>
      </w:r>
      <w:r>
        <w:rPr>
          <w:rFonts w:hint="eastAsia" w:ascii="仿宋_GB2312" w:hAnsi="仿宋_GB2312" w:eastAsia="仿宋_GB2312" w:cs="仿宋_GB2312"/>
          <w:color w:val="auto"/>
          <w:sz w:val="32"/>
          <w:szCs w:val="32"/>
          <w:highlight w:val="none"/>
          <w:lang w:val="en-US" w:eastAsia="zh-CN"/>
        </w:rPr>
        <w:t>相关单位整改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四是</w:t>
      </w:r>
      <w:r>
        <w:rPr>
          <w:rFonts w:hint="eastAsia" w:ascii="仿宋_GB2312" w:hAnsi="仿宋_GB2312" w:eastAsia="仿宋_GB2312" w:cs="仿宋_GB2312"/>
          <w:b/>
          <w:bCs/>
          <w:color w:val="auto"/>
          <w:sz w:val="32"/>
          <w:szCs w:val="32"/>
          <w:highlight w:val="none"/>
        </w:rPr>
        <w:t>开展入河排口排查整治专项行动工作。</w:t>
      </w:r>
      <w:r>
        <w:rPr>
          <w:rFonts w:hint="eastAsia" w:ascii="仿宋_GB2312" w:hAnsi="仿宋_GB2312" w:eastAsia="仿宋_GB2312" w:cs="仿宋_GB2312"/>
          <w:color w:val="auto"/>
          <w:sz w:val="32"/>
          <w:szCs w:val="32"/>
          <w:lang w:eastAsia="zh-CN"/>
        </w:rPr>
        <w:t>组织完成清单内入河排口的</w:t>
      </w:r>
      <w:r>
        <w:rPr>
          <w:rFonts w:hint="eastAsia" w:ascii="仿宋_GB2312" w:hAnsi="仿宋_GB2312" w:eastAsia="仿宋_GB2312" w:cs="仿宋_GB2312"/>
          <w:color w:val="auto"/>
          <w:sz w:val="32"/>
          <w:szCs w:val="32"/>
        </w:rPr>
        <w:t>排查工作，</w:t>
      </w:r>
      <w:r>
        <w:rPr>
          <w:rFonts w:hint="eastAsia" w:ascii="仿宋_GB2312" w:hAnsi="仿宋_GB2312" w:eastAsia="仿宋_GB2312" w:cs="仿宋_GB2312"/>
          <w:color w:val="auto"/>
          <w:sz w:val="32"/>
          <w:szCs w:val="32"/>
          <w:lang w:val="en-US" w:eastAsia="zh-CN"/>
        </w:rPr>
        <w:t>督促完成</w:t>
      </w:r>
      <w:r>
        <w:rPr>
          <w:rFonts w:hint="eastAsia" w:ascii="仿宋_GB2312" w:hAnsi="仿宋_GB2312" w:eastAsia="仿宋_GB2312" w:cs="仿宋_GB2312"/>
          <w:color w:val="auto"/>
          <w:sz w:val="32"/>
          <w:szCs w:val="32"/>
        </w:rPr>
        <w:t>整治</w:t>
      </w:r>
      <w:r>
        <w:rPr>
          <w:rFonts w:hint="eastAsia" w:ascii="仿宋_GB2312" w:hAnsi="仿宋_GB2312" w:eastAsia="仿宋_GB2312" w:cs="仿宋_GB2312"/>
          <w:color w:val="auto"/>
          <w:sz w:val="32"/>
          <w:szCs w:val="32"/>
          <w:lang w:val="en-US"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44"/>
          <w:sz w:val="32"/>
          <w:szCs w:val="32"/>
          <w:lang w:val="zh-CN"/>
        </w:rPr>
      </w:pPr>
      <w:r>
        <w:rPr>
          <w:rFonts w:hint="eastAsia" w:ascii="黑体" w:hAnsi="黑体" w:eastAsia="黑体" w:cs="黑体"/>
          <w:b w:val="0"/>
          <w:bCs w:val="0"/>
          <w:color w:val="auto"/>
          <w:kern w:val="44"/>
          <w:sz w:val="32"/>
          <w:szCs w:val="32"/>
          <w:lang w:val="zh-CN"/>
        </w:rPr>
        <w:t>三、饮用水源</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27" w:name="_Toc40444462"/>
      <w:r>
        <w:rPr>
          <w:rFonts w:hint="eastAsia" w:ascii="楷体_GB2312" w:hAnsi="楷体_GB2312" w:eastAsia="楷体_GB2312" w:cs="楷体_GB2312"/>
          <w:b w:val="0"/>
          <w:bCs w:val="0"/>
          <w:color w:val="auto"/>
          <w:kern w:val="44"/>
          <w:sz w:val="32"/>
          <w:szCs w:val="32"/>
          <w:lang w:val="zh-CN"/>
        </w:rPr>
        <w:t>（一）饮用水源环境质量现状</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28" w:name="_Toc40444464"/>
      <w:bookmarkStart w:id="29" w:name="_Toc40429429"/>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龙岗区</w:t>
      </w:r>
      <w:r>
        <w:rPr>
          <w:rFonts w:hint="eastAsia" w:ascii="仿宋_GB2312" w:hAnsi="仿宋_GB2312" w:eastAsia="仿宋_GB2312" w:cs="仿宋_GB2312"/>
          <w:color w:val="auto"/>
          <w:sz w:val="32"/>
          <w:szCs w:val="32"/>
        </w:rPr>
        <w:t>铜锣径水库符合地表水Ⅰ类标准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清林径水库、深圳水库、松子坑水库符合地表水Ⅱ类标准，龙口水库、雁田水库符合地表水Ⅲ类标准。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r>
        <w:rPr>
          <w:rFonts w:hint="eastAsia" w:ascii="楷体_GB2312" w:hAnsi="楷体_GB2312" w:eastAsia="楷体_GB2312" w:cs="楷体_GB2312"/>
          <w:b w:val="0"/>
          <w:bCs w:val="0"/>
          <w:color w:val="auto"/>
          <w:kern w:val="44"/>
          <w:sz w:val="32"/>
          <w:szCs w:val="32"/>
          <w:lang w:val="zh-CN"/>
        </w:rPr>
        <w:t>（二）措施与行动</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highlight w:val="none"/>
        </w:rPr>
        <w:t>推进龙岗区饮用水源保护区长效管理工作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认真落实龙岗区饮用水源保护区二、三级协调联动和常态化防控机制，全年</w:t>
      </w:r>
      <w:r>
        <w:rPr>
          <w:rFonts w:hint="eastAsia" w:ascii="仿宋_GB2312" w:hAnsi="仿宋_GB2312" w:eastAsia="仿宋_GB2312" w:cs="仿宋_GB2312"/>
          <w:b w:val="0"/>
          <w:bCs w:val="0"/>
          <w:color w:val="auto"/>
          <w:sz w:val="32"/>
          <w:szCs w:val="32"/>
          <w:highlight w:val="none"/>
        </w:rPr>
        <w:t>共出动</w:t>
      </w:r>
      <w:r>
        <w:rPr>
          <w:rFonts w:hint="eastAsia" w:ascii="仿宋_GB2312" w:hAnsi="仿宋_GB2312" w:eastAsia="仿宋_GB2312" w:cs="仿宋_GB2312"/>
          <w:b w:val="0"/>
          <w:bCs w:val="0"/>
          <w:color w:val="auto"/>
          <w:sz w:val="32"/>
          <w:szCs w:val="32"/>
          <w:highlight w:val="none"/>
          <w:lang w:val="en-US" w:eastAsia="zh-CN"/>
        </w:rPr>
        <w:t>1735</w:t>
      </w:r>
      <w:r>
        <w:rPr>
          <w:rFonts w:hint="eastAsia" w:ascii="仿宋_GB2312" w:hAnsi="仿宋_GB2312" w:eastAsia="仿宋_GB2312" w:cs="仿宋_GB2312"/>
          <w:b w:val="0"/>
          <w:bCs w:val="0"/>
          <w:color w:val="auto"/>
          <w:sz w:val="32"/>
          <w:szCs w:val="32"/>
          <w:highlight w:val="none"/>
        </w:rPr>
        <w:t>车次，</w:t>
      </w:r>
      <w:r>
        <w:rPr>
          <w:rFonts w:hint="eastAsia" w:ascii="仿宋_GB2312" w:hAnsi="仿宋_GB2312" w:eastAsia="仿宋_GB2312" w:cs="仿宋_GB2312"/>
          <w:b w:val="0"/>
          <w:bCs w:val="0"/>
          <w:color w:val="auto"/>
          <w:sz w:val="32"/>
          <w:szCs w:val="32"/>
          <w:highlight w:val="none"/>
          <w:lang w:val="en-US" w:eastAsia="zh-CN"/>
        </w:rPr>
        <w:t>3597</w:t>
      </w:r>
      <w:r>
        <w:rPr>
          <w:rFonts w:hint="eastAsia" w:ascii="仿宋_GB2312" w:hAnsi="仿宋_GB2312" w:eastAsia="仿宋_GB2312" w:cs="仿宋_GB2312"/>
          <w:b w:val="0"/>
          <w:bCs w:val="0"/>
          <w:color w:val="auto"/>
          <w:sz w:val="32"/>
          <w:szCs w:val="32"/>
          <w:highlight w:val="none"/>
        </w:rPr>
        <w:t>人次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二是开展“雨季行动”专项工作</w:t>
      </w:r>
      <w:r>
        <w:rPr>
          <w:rFonts w:hint="eastAsia" w:ascii="仿宋_GB2312" w:hAnsi="仿宋_GB2312" w:eastAsia="仿宋_GB2312" w:cs="仿宋_GB2312"/>
          <w:color w:val="auto"/>
          <w:sz w:val="32"/>
          <w:szCs w:val="32"/>
          <w:highlight w:val="none"/>
          <w:lang w:val="en-US" w:eastAsia="zh-CN"/>
        </w:rPr>
        <w:t>。印发2022年龙岗区雨季行动方案</w:t>
      </w:r>
      <w:r>
        <w:rPr>
          <w:rFonts w:hint="eastAsia" w:ascii="仿宋_GB2312" w:hAnsi="仿宋_GB2312" w:eastAsia="仿宋_GB2312" w:cs="仿宋_GB2312"/>
          <w:color w:val="auto"/>
          <w:sz w:val="32"/>
          <w:szCs w:val="32"/>
          <w:lang w:val="en-US" w:eastAsia="zh-CN"/>
        </w:rPr>
        <w:t>，保障龙岗区饮用水源保护区雨季水质达标。</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
          <w:bCs/>
          <w:color w:val="auto"/>
          <w:sz w:val="32"/>
          <w:szCs w:val="32"/>
          <w:lang w:val="en-US" w:eastAsia="zh-CN"/>
        </w:rPr>
        <w:t>开展饮用水源保护区日常巡查工作</w:t>
      </w:r>
      <w:r>
        <w:rPr>
          <w:rFonts w:hint="eastAsia" w:ascii="仿宋_GB2312" w:hAnsi="仿宋_GB2312" w:eastAsia="仿宋_GB2312" w:cs="仿宋_GB2312"/>
          <w:color w:val="auto"/>
          <w:sz w:val="32"/>
          <w:szCs w:val="32"/>
          <w:lang w:val="en-US" w:eastAsia="zh-CN"/>
        </w:rPr>
        <w:t>。及时发现、处理饮用水源保护区内环境风险隐患问题。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44"/>
          <w:sz w:val="32"/>
          <w:szCs w:val="32"/>
          <w:lang w:val="zh-CN"/>
        </w:rPr>
      </w:pPr>
      <w:r>
        <w:rPr>
          <w:rFonts w:hint="eastAsia" w:ascii="黑体" w:hAnsi="黑体" w:eastAsia="黑体" w:cs="黑体"/>
          <w:b w:val="0"/>
          <w:bCs w:val="0"/>
          <w:color w:val="auto"/>
          <w:kern w:val="44"/>
          <w:sz w:val="32"/>
          <w:szCs w:val="32"/>
          <w:lang w:val="zh-CN"/>
        </w:rPr>
        <w:t>四、声环境质量</w:t>
      </w:r>
      <w:bookmarkEnd w:id="24"/>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bookmarkStart w:id="30" w:name="_Toc40444465"/>
      <w:r>
        <w:rPr>
          <w:rFonts w:hint="eastAsia" w:ascii="楷体_GB2312" w:hAnsi="楷体_GB2312" w:eastAsia="楷体_GB2312" w:cs="楷体_GB2312"/>
          <w:b w:val="0"/>
          <w:bCs w:val="0"/>
          <w:color w:val="auto"/>
          <w:kern w:val="44"/>
          <w:sz w:val="32"/>
          <w:szCs w:val="32"/>
          <w:lang w:val="zh-CN"/>
        </w:rPr>
        <w:t>（一）声环境质量现状</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31" w:name="_Toc512332010"/>
      <w:r>
        <w:rPr>
          <w:rFonts w:hint="eastAsia" w:ascii="仿宋_GB2312" w:hAnsi="仿宋_GB2312" w:eastAsia="仿宋_GB2312" w:cs="仿宋_GB2312"/>
          <w:color w:val="auto"/>
          <w:sz w:val="32"/>
          <w:szCs w:val="32"/>
        </w:rPr>
        <w:t>龙岗区202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年声环境质量总体较为稳定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2类功能区、3类功能区昼间夜间达标率均为100%。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44"/>
          <w:sz w:val="32"/>
          <w:szCs w:val="32"/>
          <w:lang w:val="zh-CN"/>
        </w:rPr>
      </w:pPr>
      <w:r>
        <w:rPr>
          <w:rFonts w:hint="eastAsia" w:ascii="楷体_GB2312" w:hAnsi="楷体_GB2312" w:eastAsia="楷体_GB2312" w:cs="楷体_GB2312"/>
          <w:b w:val="0"/>
          <w:bCs w:val="0"/>
          <w:color w:val="auto"/>
          <w:kern w:val="44"/>
          <w:sz w:val="32"/>
          <w:szCs w:val="32"/>
          <w:lang w:val="zh-CN"/>
        </w:rPr>
        <w:t>（二）措施与行动</w:t>
      </w:r>
    </w:p>
    <w:bookmarkEnd w:id="31"/>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bCs/>
          <w:color w:val="auto"/>
          <w:sz w:val="32"/>
          <w:szCs w:val="32"/>
          <w:lang w:val="en-US" w:eastAsia="zh-CN"/>
        </w:rPr>
        <w:t>一是印发方案，压降噪声信访投诉量。</w:t>
      </w:r>
      <w:r>
        <w:rPr>
          <w:rFonts w:hint="eastAsia" w:ascii="仿宋_GB2312" w:hAnsi="仿宋_GB2312" w:eastAsia="仿宋_GB2312" w:cs="仿宋_GB2312"/>
          <w:b w:val="0"/>
          <w:bCs w:val="0"/>
          <w:color w:val="auto"/>
          <w:kern w:val="2"/>
          <w:sz w:val="32"/>
          <w:szCs w:val="32"/>
          <w:highlight w:val="none"/>
          <w:lang w:val="en-US" w:eastAsia="zh-CN" w:bidi="ar-SA"/>
        </w:rPr>
        <w:t>编制印发《市生态环境局龙岗管理局关于2022年加强建筑施工噪声污染防治严控建筑施工噪声扰民投诉量的工作方案》、</w:t>
      </w:r>
      <w:r>
        <w:rPr>
          <w:rFonts w:hint="eastAsia" w:ascii="仿宋_GB2312" w:hAnsi="仿宋_GB2312" w:eastAsia="仿宋_GB2312" w:cs="仿宋_GB2312"/>
          <w:color w:val="auto"/>
          <w:kern w:val="0"/>
          <w:sz w:val="32"/>
          <w:szCs w:val="32"/>
          <w:lang w:val="en-US" w:eastAsia="zh-CN" w:bidi="ar-SA"/>
        </w:rPr>
        <w:t>《深圳市生态环境局龙岗管理生态环境信访案件局领导包案工作方案》、</w:t>
      </w:r>
      <w:r>
        <w:rPr>
          <w:rFonts w:hint="eastAsia" w:ascii="仿宋_GB2312" w:hAnsi="仿宋_GB2312" w:eastAsia="仿宋_GB2312" w:cs="仿宋_GB2312"/>
          <w:color w:val="auto"/>
          <w:sz w:val="32"/>
          <w:szCs w:val="32"/>
          <w:lang w:val="en-US" w:eastAsia="zh-CN"/>
        </w:rPr>
        <w:t>《龙岗区开展生态环境保护领域信访矛盾攻坚化解专项行动工作方案》等工作方案</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 w:eastAsia="zh-CN" w:bidi="ar-SA"/>
        </w:rPr>
        <w:t>通过</w:t>
      </w:r>
      <w:r>
        <w:rPr>
          <w:rFonts w:hint="eastAsia" w:ascii="仿宋_GB2312" w:hAnsi="仿宋_GB2312" w:eastAsia="仿宋_GB2312" w:cs="仿宋_GB2312"/>
          <w:color w:val="auto"/>
          <w:sz w:val="32"/>
          <w:szCs w:val="32"/>
          <w:highlight w:val="none"/>
          <w:lang w:val="en" w:eastAsia="zh-CN"/>
        </w:rPr>
        <w:t>目标分解、加强日常监管、严格审批、强化执法、完善信访化解机制、高位推进等手段，全力推进</w:t>
      </w:r>
      <w:r>
        <w:rPr>
          <w:rFonts w:hint="eastAsia" w:ascii="仿宋_GB2312" w:hAnsi="仿宋_GB2312" w:eastAsia="仿宋_GB2312" w:cs="仿宋_GB2312"/>
          <w:color w:val="auto"/>
          <w:sz w:val="32"/>
          <w:szCs w:val="32"/>
          <w:highlight w:val="none"/>
          <w:lang w:val="en-US" w:eastAsia="zh-CN"/>
        </w:rPr>
        <w:t>施工噪声信访投诉的控、压、降。</w:t>
      </w:r>
      <w:r>
        <w:rPr>
          <w:rFonts w:hint="eastAsia" w:ascii="仿宋_GB2312" w:hAnsi="仿宋_GB2312" w:eastAsia="仿宋_GB2312" w:cs="仿宋_GB2312"/>
          <w:color w:val="auto"/>
          <w:sz w:val="32"/>
          <w:szCs w:val="32"/>
          <w:lang w:val="en-US" w:eastAsia="zh-CN"/>
        </w:rPr>
        <w:t>2022年，全区环境</w:t>
      </w:r>
      <w:r>
        <w:rPr>
          <w:rFonts w:hint="eastAsia" w:ascii="仿宋_GB2312" w:hAnsi="仿宋_GB2312" w:eastAsia="仿宋_GB2312" w:cs="仿宋_GB2312"/>
          <w:color w:val="auto"/>
          <w:sz w:val="32"/>
          <w:szCs w:val="32"/>
        </w:rPr>
        <w:t>噪声投诉</w:t>
      </w:r>
      <w:r>
        <w:rPr>
          <w:rFonts w:hint="eastAsia" w:ascii="仿宋_GB2312" w:hAnsi="仿宋_GB2312" w:eastAsia="仿宋_GB2312" w:cs="仿宋_GB2312"/>
          <w:color w:val="auto"/>
          <w:sz w:val="32"/>
          <w:szCs w:val="32"/>
          <w:lang w:eastAsia="zh-CN"/>
        </w:rPr>
        <w:t>量</w:t>
      </w:r>
      <w:r>
        <w:rPr>
          <w:rFonts w:hint="eastAsia" w:ascii="仿宋_GB2312" w:hAnsi="仿宋_GB2312" w:eastAsia="仿宋_GB2312" w:cs="仿宋_GB2312"/>
          <w:color w:val="auto"/>
          <w:sz w:val="32"/>
          <w:szCs w:val="32"/>
        </w:rPr>
        <w:t>同比下降</w:t>
      </w:r>
      <w:r>
        <w:rPr>
          <w:rFonts w:hint="eastAsia" w:ascii="仿宋_GB2312" w:hAnsi="仿宋_GB2312" w:eastAsia="仿宋_GB2312" w:cs="仿宋_GB2312"/>
          <w:color w:val="auto"/>
          <w:sz w:val="32"/>
          <w:szCs w:val="32"/>
          <w:lang w:val="en-US" w:eastAsia="zh-CN"/>
        </w:rPr>
        <w:t>30.89%。</w:t>
      </w:r>
      <w:r>
        <w:rPr>
          <w:rFonts w:hint="eastAsia" w:ascii="仿宋_GB2312" w:hAnsi="仿宋_GB2312" w:eastAsia="仿宋_GB2312" w:cs="仿宋_GB2312"/>
          <w:b/>
          <w:bCs/>
          <w:color w:val="auto"/>
          <w:sz w:val="32"/>
          <w:szCs w:val="32"/>
          <w:lang w:val="en-US" w:eastAsia="zh-CN"/>
        </w:rPr>
        <w:t>二是严格执法，提高执法效能。</w:t>
      </w:r>
      <w:r>
        <w:rPr>
          <w:rFonts w:hint="eastAsia" w:ascii="仿宋_GB2312" w:hAnsi="仿宋_GB2312" w:eastAsia="仿宋_GB2312" w:cs="仿宋_GB2312"/>
          <w:b w:val="0"/>
          <w:bCs w:val="0"/>
          <w:color w:val="auto"/>
          <w:sz w:val="32"/>
          <w:szCs w:val="32"/>
          <w:lang w:val="en-US" w:eastAsia="zh-CN"/>
        </w:rPr>
        <w:t>加大对</w:t>
      </w:r>
      <w:r>
        <w:rPr>
          <w:rFonts w:hint="eastAsia" w:ascii="仿宋_GB2312" w:hAnsi="仿宋" w:eastAsia="仿宋_GB2312"/>
          <w:color w:val="auto"/>
          <w:sz w:val="32"/>
          <w:szCs w:val="32"/>
          <w:highlight w:val="none"/>
          <w:lang w:val="en-US" w:eastAsia="zh-CN"/>
        </w:rPr>
        <w:t>建筑</w:t>
      </w:r>
      <w:r>
        <w:rPr>
          <w:rFonts w:hint="eastAsia" w:ascii="仿宋_GB2312" w:hAnsi="仿宋_GB2312" w:eastAsia="仿宋_GB2312" w:cs="仿宋_GB2312"/>
          <w:b w:val="0"/>
          <w:bCs w:val="0"/>
          <w:color w:val="auto"/>
          <w:sz w:val="32"/>
          <w:szCs w:val="32"/>
          <w:lang w:val="en-US" w:eastAsia="zh-CN"/>
        </w:rPr>
        <w:t>施工工地的检查</w:t>
      </w:r>
      <w:r>
        <w:rPr>
          <w:rFonts w:hint="eastAsia" w:ascii="仿宋_GB2312" w:hAnsi="仿宋" w:eastAsia="仿宋_GB2312"/>
          <w:color w:val="auto"/>
          <w:sz w:val="32"/>
          <w:szCs w:val="32"/>
          <w:highlight w:val="none"/>
          <w:lang w:val="en-US" w:eastAsia="zh-CN"/>
        </w:rPr>
        <w:t>，强化</w:t>
      </w:r>
      <w:r>
        <w:rPr>
          <w:rFonts w:hint="eastAsia" w:ascii="仿宋_GB2312" w:hAnsi="仿宋" w:eastAsia="仿宋_GB2312" w:cs="Times New Roman"/>
          <w:b w:val="0"/>
          <w:bCs w:val="0"/>
          <w:color w:val="auto"/>
          <w:sz w:val="32"/>
          <w:szCs w:val="32"/>
          <w:highlight w:val="none"/>
          <w:lang w:val="en-US" w:eastAsia="zh-CN"/>
        </w:rPr>
        <w:t>施工噪声污染管控，依法打击违反</w:t>
      </w:r>
      <w:r>
        <w:rPr>
          <w:rFonts w:hint="eastAsia" w:ascii="仿宋_GB2312" w:hAnsi="仿宋" w:eastAsia="仿宋_GB2312"/>
          <w:color w:val="auto"/>
          <w:sz w:val="32"/>
          <w:szCs w:val="32"/>
          <w:highlight w:val="none"/>
          <w:lang w:val="en-US" w:eastAsia="zh-CN"/>
        </w:rPr>
        <w:t>噪声污染防治的建筑施工工地</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严格夜间施工许可审批，</w:t>
      </w:r>
      <w:r>
        <w:rPr>
          <w:rFonts w:hint="eastAsia" w:ascii="仿宋_GB2312" w:hAnsi="仿宋_GB2312" w:eastAsia="仿宋_GB2312" w:cs="仿宋_GB2312"/>
          <w:color w:val="auto"/>
          <w:sz w:val="32"/>
          <w:szCs w:val="32"/>
          <w:lang w:val="en-US" w:eastAsia="zh-CN"/>
        </w:rPr>
        <w:t>“熔断”夜间施工许可审批445次；</w:t>
      </w:r>
      <w:r>
        <w:rPr>
          <w:rFonts w:hint="eastAsia" w:ascii="仿宋_GB2312" w:hAnsi="仿宋_GB2312" w:eastAsia="仿宋_GB2312" w:cs="仿宋_GB2312"/>
          <w:color w:val="auto"/>
          <w:sz w:val="32"/>
          <w:szCs w:val="32"/>
          <w:highlight w:val="none"/>
          <w:lang w:val="en-US" w:eastAsia="zh-CN"/>
        </w:rPr>
        <w:t>严格执法，</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highlight w:val="none"/>
          <w:lang w:val="en-US" w:eastAsia="zh-CN"/>
        </w:rPr>
        <w:t>出动37239人次，检查工地17988场次</w:t>
      </w:r>
      <w:r>
        <w:rPr>
          <w:rFonts w:hint="eastAsia" w:ascii="仿宋_GB2312" w:hAnsi="仿宋_GB2312" w:eastAsia="仿宋_GB2312" w:cs="仿宋_GB2312"/>
          <w:color w:val="auto"/>
          <w:sz w:val="32"/>
          <w:szCs w:val="32"/>
          <w:lang w:val="en-US" w:eastAsia="zh-CN"/>
        </w:rPr>
        <w:t>，对建筑施工环境违法行为行政立案335宗，作出处罚决定276宗，处罚金额共计884万元，约谈项目工地551批次</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是通过创新手段，让噪音“自动喊停”</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采用</w:t>
      </w:r>
      <w:r>
        <w:rPr>
          <w:rFonts w:hint="eastAsia" w:ascii="仿宋_GB2312" w:hAnsi="仿宋_GB2312" w:eastAsia="仿宋_GB2312" w:cs="仿宋_GB2312"/>
          <w:i w:val="0"/>
          <w:caps w:val="0"/>
          <w:color w:val="auto"/>
          <w:spacing w:val="0"/>
          <w:sz w:val="32"/>
          <w:szCs w:val="32"/>
          <w:lang w:eastAsia="zh-CN"/>
        </w:rPr>
        <w:t>“线上监控视频+线下调查询问笔录+现场检查（勘验）笔录”，</w:t>
      </w:r>
      <w:r>
        <w:rPr>
          <w:rFonts w:hint="eastAsia" w:ascii="仿宋_GB2312" w:hAnsi="仿宋" w:eastAsia="仿宋_GB2312" w:cs="Times New Roman"/>
          <w:b w:val="0"/>
          <w:bCs w:val="0"/>
          <w:color w:val="auto"/>
          <w:sz w:val="32"/>
          <w:szCs w:val="32"/>
          <w:highlight w:val="none"/>
          <w:lang w:val="en-US" w:eastAsia="zh-CN"/>
        </w:rPr>
        <w:t>远程监控、及时喊停建筑工地夜间施工超时作业的违法行为。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39E9F"/>
    <w:rsid w:val="7CF39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unhideWhenUsed/>
    <w:qFormat/>
    <w:uiPriority w:val="99"/>
    <w:pPr>
      <w:spacing w:after="120"/>
    </w:pPr>
  </w:style>
  <w:style w:type="paragraph" w:styleId="4">
    <w:name w:val="Plain Text"/>
    <w:basedOn w:val="1"/>
    <w:qFormat/>
    <w:uiPriority w:val="0"/>
    <w:rPr>
      <w:rFonts w:hint="eastAsia"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2023-03-17T09:21:00Z</dcterms:created>
  <dc:creator>stlgj</dc:creator>
  <cp:lastModifiedBy>stlgj</cp:lastModifiedBy>
  <dcterms:modified xsi:type="dcterms:W3CDTF">2023-03-17T09:24:31Z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