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附件：1、评分标准</w:t>
      </w:r>
    </w:p>
    <w:tbl>
      <w:tblPr>
        <w:tblStyle w:val="3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9"/>
        <w:gridCol w:w="792"/>
        <w:gridCol w:w="64"/>
        <w:gridCol w:w="5144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评分项及评分规则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一、商务报价部分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报价合理，采用价格优先法计算，即满足资质要求的有效报价中取最低的为评标基准价，其价格为满分。本项目报价上限为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CN"/>
              </w:rPr>
              <w:t>36.3548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价格分计算公式：投标报价得分=[评标基准价/项目报价]×价格权重值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资信部分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权重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(分)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>相关资质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" w:leftChars="0"/>
              <w:textAlignment w:val="auto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1、评审内容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投标单位资质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评审标准：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1）具有广东省市场监督管理局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颁发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的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特种设备生产许可证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，A1级为20分，A2级为1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分，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B级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分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，未提供不得分</w:t>
            </w: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、证明文件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提供资质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扫描件。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投标企业服务响应及时能力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CN"/>
              </w:rPr>
              <w:t>快捷提供服务的便利性、快速响应的能力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default" w:ascii="宋体" w:hAnsi="宋体" w:cs="宋体"/>
                <w:bCs/>
                <w:sz w:val="22"/>
                <w:szCs w:val="22"/>
              </w:rPr>
              <w:t>根据投标人提供相应的资料横向对比，优得10分，良得6分，一般得3分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未提供证明文件不得分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.证明文件：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具体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内容与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格式由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投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标方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决定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三、技术部分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权重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(分)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6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管理、技术人员配备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及维修整改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方案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参与本项目实施的技术负责人具有本项目相关的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职称证书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上岗证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。（5分）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参与本项目的团队人员中相关技术人员的数量。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维修整改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方案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参与本项目实施的技术负责人具有电梯技师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证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、工程师职称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证书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和电梯检验员证，提供一项得2分，最高得5分，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未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提供不得分。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hAnsi="宋体" w:cs="宋体"/>
                <w:color w:val="auto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default" w:hAnsi="宋体" w:cs="宋体"/>
                <w:color w:val="auto"/>
                <w:kern w:val="0"/>
                <w:sz w:val="22"/>
                <w:szCs w:val="22"/>
                <w:lang w:eastAsia="zh-CN" w:bidi="ar-SA"/>
              </w:rPr>
              <w:t>2</w:t>
            </w: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团队人员中</w:t>
            </w: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（本项目技术负责人除外）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，相关技术人员2个以上得5分，1</w:t>
            </w:r>
            <w:r>
              <w:rPr>
                <w:rFonts w:hint="default" w:hAnsi="宋体" w:cs="宋体"/>
                <w:color w:val="auto"/>
                <w:kern w:val="0"/>
                <w:sz w:val="22"/>
                <w:szCs w:val="22"/>
                <w:lang w:eastAsia="zh-CN" w:bidi="ar-SA"/>
              </w:rPr>
              <w:t>-2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个得2分，没有不得分</w:t>
            </w:r>
            <w:r>
              <w:rPr>
                <w:rFonts w:hint="default" w:hAnsi="宋体" w:cs="宋体"/>
                <w:color w:val="auto"/>
                <w:kern w:val="0"/>
                <w:sz w:val="22"/>
                <w:szCs w:val="22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维修整改方案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较完善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合理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进行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横向对比，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最高得5分，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未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</w:rPr>
              <w:t>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b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.证明文件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提供</w:t>
            </w:r>
            <w:r>
              <w:rPr>
                <w:rFonts w:hint="default" w:ascii="宋体" w:hAnsi="宋体" w:cs="宋体"/>
                <w:bCs/>
                <w:sz w:val="22"/>
                <w:szCs w:val="22"/>
              </w:rPr>
              <w:t>有关证书扫描件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需附相应人员近三个月的社保缴交证明</w:t>
            </w:r>
            <w:r>
              <w:rPr>
                <w:rFonts w:hint="default" w:ascii="宋体" w:hAnsi="宋体" w:cs="宋体"/>
                <w:bCs/>
                <w:sz w:val="22"/>
                <w:szCs w:val="22"/>
                <w:lang w:eastAsia="zh-CN"/>
              </w:rPr>
              <w:t>或足以证明员工在职的相关材料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宋体" w:hAnsi="宋体" w:cs="宋体"/>
                <w:bCs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维修整改方案等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1D1B10"/>
                <w:kern w:val="0"/>
                <w:sz w:val="22"/>
                <w:szCs w:val="22"/>
                <w:u w:val="none"/>
                <w:lang w:val="en-US" w:eastAsia="zh-CN" w:bidi="ar"/>
              </w:rPr>
              <w:t>相关业绩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1D1B1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D1B1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同类项目业绩</w:t>
            </w:r>
            <w:r>
              <w:rPr>
                <w:rFonts w:hint="eastAsia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相关案例业绩3个或以上得20分，2个得10分，1个得5分，未提供不得分。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b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.证明文件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提供</w:t>
            </w: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同类项目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合同关键页</w:t>
            </w:r>
            <w:r>
              <w:rPr>
                <w:rFonts w:hint="eastAsia" w:hAnsi="宋体" w:cs="宋体"/>
                <w:kern w:val="0"/>
                <w:sz w:val="22"/>
                <w:szCs w:val="22"/>
                <w:lang w:val="en-US" w:eastAsia="zh-CN"/>
              </w:rPr>
              <w:t>或中标通知书扫描件等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进度安排计划</w:t>
            </w:r>
          </w:p>
        </w:tc>
        <w:tc>
          <w:tcPr>
            <w:tcW w:w="79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提供项目进度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安排计划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表，进度表格式由投标人自行决定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满足要求者得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kern w:val="0"/>
                <w:sz w:val="22"/>
                <w:szCs w:val="22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；进度计划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延迟或没有提供进度计划者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、证明文件：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实施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表。</w:t>
            </w:r>
          </w:p>
        </w:tc>
        <w:tc>
          <w:tcPr>
            <w:tcW w:w="122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注：如符合资质和项目其他要求的投标人只有一家，则不再进行评审，直接确定为中标单位。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MmQzODUwMjA2M2Y0YTA0MDcyMjg2MzcwYmE5OTYifQ=="/>
  </w:docVars>
  <w:rsids>
    <w:rsidRoot w:val="637859F9"/>
    <w:rsid w:val="015E703A"/>
    <w:rsid w:val="029F57B5"/>
    <w:rsid w:val="039A0702"/>
    <w:rsid w:val="07C8374C"/>
    <w:rsid w:val="0AC85031"/>
    <w:rsid w:val="0DAC7831"/>
    <w:rsid w:val="0F136F00"/>
    <w:rsid w:val="1FC2FF7E"/>
    <w:rsid w:val="206A6249"/>
    <w:rsid w:val="2F7DF9F6"/>
    <w:rsid w:val="37CD01F8"/>
    <w:rsid w:val="385C6972"/>
    <w:rsid w:val="395A731A"/>
    <w:rsid w:val="3A6E97E9"/>
    <w:rsid w:val="3C935DE1"/>
    <w:rsid w:val="3EFB3B72"/>
    <w:rsid w:val="3FFB2205"/>
    <w:rsid w:val="43FFAE8B"/>
    <w:rsid w:val="44676DCB"/>
    <w:rsid w:val="47DDC4D6"/>
    <w:rsid w:val="4CDE1F03"/>
    <w:rsid w:val="4E08173A"/>
    <w:rsid w:val="4E0B0C88"/>
    <w:rsid w:val="525E6BF5"/>
    <w:rsid w:val="536D8EEB"/>
    <w:rsid w:val="576FAFDD"/>
    <w:rsid w:val="5DD679B5"/>
    <w:rsid w:val="619DA249"/>
    <w:rsid w:val="637859F9"/>
    <w:rsid w:val="63DF4CA6"/>
    <w:rsid w:val="677FF5E4"/>
    <w:rsid w:val="67E7912E"/>
    <w:rsid w:val="694B2E89"/>
    <w:rsid w:val="6B673A82"/>
    <w:rsid w:val="6B9EBCDB"/>
    <w:rsid w:val="6BFE72B1"/>
    <w:rsid w:val="6FFFC327"/>
    <w:rsid w:val="776D13BB"/>
    <w:rsid w:val="77F92AFC"/>
    <w:rsid w:val="79BF9346"/>
    <w:rsid w:val="7A087F69"/>
    <w:rsid w:val="7BBD9568"/>
    <w:rsid w:val="7BDDEF9E"/>
    <w:rsid w:val="7DBB6F8B"/>
    <w:rsid w:val="7E3D9C28"/>
    <w:rsid w:val="7F8B9BD9"/>
    <w:rsid w:val="7FCE2D00"/>
    <w:rsid w:val="8F9F1093"/>
    <w:rsid w:val="9F7E09B2"/>
    <w:rsid w:val="9FD6501A"/>
    <w:rsid w:val="A7FDC8E6"/>
    <w:rsid w:val="AB5F23DA"/>
    <w:rsid w:val="B5D72919"/>
    <w:rsid w:val="BB7F5D12"/>
    <w:rsid w:val="BBFD9E3D"/>
    <w:rsid w:val="BF58032A"/>
    <w:rsid w:val="BFEFA0F8"/>
    <w:rsid w:val="C9FB4DCC"/>
    <w:rsid w:val="EA264E49"/>
    <w:rsid w:val="EB5B0CE0"/>
    <w:rsid w:val="FBFE71DF"/>
    <w:rsid w:val="FDED78B7"/>
    <w:rsid w:val="FEFFC301"/>
    <w:rsid w:val="FFD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color w:val="auto"/>
      <w:szCs w:val="2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892</Characters>
  <Lines>0</Lines>
  <Paragraphs>0</Paragraphs>
  <TotalTime>139</TotalTime>
  <ScaleCrop>false</ScaleCrop>
  <LinksUpToDate>false</LinksUpToDate>
  <CharactersWithSpaces>893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2022-04-17T00:57:00Z</dcterms:created>
  <dc:creator>偶</dc:creator>
  <cp:lastModifiedBy>曾赟</cp:lastModifiedBy>
  <dcterms:modified xsi:type="dcterms:W3CDTF">2024-10-08T09:32:19Z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5E382C4D7B3242A4AC530D96DA0AF54D_13</vt:lpwstr>
  </property>
</Properties>
</file>