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1：</w:t>
      </w:r>
    </w:p>
    <w:p>
      <w:pPr>
        <w:keepNext w:val="0"/>
        <w:keepLines w:val="0"/>
        <w:pageBreakBefore w:val="0"/>
        <w:kinsoku/>
        <w:overflowPunct/>
        <w:topLinePunct w:val="0"/>
        <w:autoSpaceDE/>
        <w:autoSpaceDN/>
        <w:bidi w:val="0"/>
        <w:spacing w:line="560" w:lineRule="exact"/>
        <w:jc w:val="left"/>
        <w:textAlignment w:val="auto"/>
        <w:rPr>
          <w:rFonts w:hint="default" w:ascii="宋体" w:hAnsi="宋体" w:eastAsia="宋体" w:cs="宋体"/>
          <w:b/>
          <w:bCs/>
          <w:sz w:val="28"/>
          <w:szCs w:val="28"/>
          <w:lang w:val="en-US" w:eastAsia="zh-CN"/>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龙岗区教育局</w:t>
      </w:r>
      <w:r>
        <w:rPr>
          <w:rFonts w:hint="eastAsia" w:ascii="方正小标宋简体" w:hAnsi="方正小标宋简体" w:eastAsia="方正小标宋简体" w:cs="方正小标宋简体"/>
          <w:b w:val="0"/>
          <w:bCs w:val="0"/>
          <w:sz w:val="44"/>
          <w:szCs w:val="44"/>
          <w:lang w:val="en-US" w:eastAsia="zh-CN"/>
        </w:rPr>
        <w:t>2025年面向社会公开招聘</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优秀教师资格复审及面试综合考务服务</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项目采购需求书</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加强龙岗教师队伍建设，落实新时代立德树人根本任务，龙岗区教育局计划开展2025年面向社会公开招聘优秀教师多名，为确保招聘工作顺利开展，现拟通过“自行采购-公开招标”方式选取一家有经验、有实力的供应商提供本次招聘资格复审及面试综合考务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预算控制金额</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本项目预算控制金额20万元。</w:t>
      </w:r>
      <w:r>
        <w:rPr>
          <w:rFonts w:hint="eastAsia" w:ascii="仿宋_GB2312" w:hAnsi="仿宋_GB2312" w:eastAsia="仿宋_GB2312" w:cs="仿宋_GB2312"/>
          <w:color w:val="auto"/>
          <w:sz w:val="32"/>
          <w:szCs w:val="32"/>
          <w:shd w:val="clear" w:color="auto" w:fill="FFFFFF"/>
          <w:lang w:val="en-US" w:eastAsia="zh-CN"/>
        </w:rPr>
        <w:t>最终以实际产生经费为准支付，若超出预算控制价甲方不再支付额外费用，需由投标人自行承担。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自行采购-公开招标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评标方法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仿宋" w:hAnsi="仿宋" w:eastAsia="仿宋" w:cs="华文仿宋"/>
          <w:sz w:val="28"/>
          <w:szCs w:val="28"/>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综合评分法，报价单详见附件1，综合评分标准详见附件2。</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项目需求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sz w:val="32"/>
          <w:szCs w:val="32"/>
          <w:lang w:val="en-US" w:eastAsia="zh-CN"/>
        </w:rPr>
        <w:t>投标人能完全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保障2025年面向社会公开招聘优秀教师资格复审及面试工作顺利开展，通过投标人专业化考务服务大力提升招聘工作效率和质量。</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采购内容（服务类）</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本次招聘参加资格复审及面试考生预计</w:t>
      </w:r>
      <w:r>
        <w:rPr>
          <w:rFonts w:hint="eastAsia" w:ascii="仿宋_GB2312" w:hAnsi="仿宋_GB2312" w:eastAsia="仿宋_GB2312" w:cs="仿宋_GB2312"/>
          <w:b/>
          <w:bCs/>
          <w:color w:val="auto"/>
          <w:sz w:val="32"/>
          <w:szCs w:val="32"/>
          <w:lang w:val="en-US" w:eastAsia="zh-CN"/>
        </w:rPr>
        <w:t>300人</w:t>
      </w:r>
      <w:r>
        <w:rPr>
          <w:rFonts w:hint="eastAsia" w:ascii="仿宋_GB2312" w:hAnsi="仿宋_GB2312" w:eastAsia="仿宋_GB2312" w:cs="仿宋_GB2312"/>
          <w:color w:val="auto"/>
          <w:sz w:val="32"/>
          <w:szCs w:val="32"/>
          <w:lang w:val="en-US" w:eastAsia="zh-CN"/>
        </w:rPr>
        <w:t>，两个环节用时预计各一天，资格复审组别预计6组，面试间数预计6间，具体以实际为准，采购需求如下：</w:t>
      </w:r>
    </w:p>
    <w:p>
      <w:pPr>
        <w:pStyle w:val="2"/>
        <w:keepNext w:val="0"/>
        <w:keepLines w:val="0"/>
        <w:pageBreakBefore w:val="0"/>
        <w:widowControl w:val="0"/>
        <w:numPr>
          <w:ilvl w:val="0"/>
          <w:numId w:val="3"/>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人员要求</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排具有招聘类考务组织经验丰富的自有员工担任本次招聘项目团队总负责人，统筹协调各项考务工作；安排至少20位具有本科学历且具备考务组织经验的自有员工组成本次招聘考务服务团队，要求投标人提前做好各岗位人员分工。</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甲方负责确定资格复审及面试当天各个环节工作人员的资格条件并通知投标人，投标人接到甲方通知后5个工作日内提供人员名单报甲方备案审核，经甲方同意后实施。</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资格复审及面试考务要求</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（1）场地租赁布置</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资格复审场地位置由中标人与甲方协商确定，投标人负责资</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格复审场地的租赁及布置，如各类广告指引牌、警戒线、桌椅摆放及回收、监控布置等。</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（2）物料文具耗材</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投标人负责提供资格复审及面试期间所有物料文具耗材，如签字笔、凤尾夹、纸巾、倒计时器、倒计时牌、考官牌、监督员牌、记分员牌、工作人员牌、座位牌、尺子、订书机、订书针、档案袋、手提袋、纸箱、排插、打印碳粉盒、A4纸、A3纸等。</w:t>
      </w:r>
    </w:p>
    <w:p>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餐饮茶歇</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投标人负责提供资格复审及面试期间全体工作人员（含审查员、面试考官、部分考生、后勤工作人员等）早餐、午餐、饮用水及茶歇等。</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评分系统</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default"/>
          <w:color w:val="0000FF"/>
          <w:lang w:val="en-US" w:eastAsia="zh-CN"/>
        </w:rPr>
      </w:pPr>
      <w:r>
        <w:rPr>
          <w:rFonts w:hint="eastAsia" w:ascii="仿宋_GB2312" w:hAnsi="仿宋_GB2312" w:eastAsia="仿宋_GB2312" w:cs="仿宋_GB2312"/>
          <w:color w:val="auto"/>
          <w:kern w:val="2"/>
          <w:sz w:val="32"/>
          <w:szCs w:val="32"/>
          <w:lang w:val="en-US" w:eastAsia="zh-CN" w:bidi="ar-SA"/>
        </w:rPr>
        <w:t>投标人负责提供面试评分系统的布置，要求至少备用2套系统应急使用。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服务期限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本项目服务期限自合同签订之日起至2025年5月31日。</w:t>
      </w:r>
      <w:r>
        <w:rPr>
          <w:rFonts w:hint="eastAsia" w:ascii="仿宋_GB2312" w:hAnsi="仿宋_GB2312" w:eastAsia="仿宋_GB2312" w:cs="仿宋_GB2312"/>
          <w:sz w:val="32"/>
          <w:szCs w:val="32"/>
          <w:lang w:val="en-US" w:eastAsia="zh-CN"/>
        </w:rPr>
        <w:t>具体服务时间以实际考务工作进度为准，投标人能随时根据具体资格复审及面试时间安排响应甲方要求。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其他要求</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1.鉴于面向社会考试的严谨性以及可能引发的舆情风险，投标人务必在资格复审及面试前做好整体考务组织规划，包括考务人员岗位培训、场地布置、后勤物资保障、相关设备系统调试等前期准备工作。</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2.投标人提供的考务人员，如引导员等不能为兼职学生，需确保考务人员在岗期间不玩忽职守、不迟到早退、不擅离工作岗位等。</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3.投标人应按照有关保密要求做好考生信息、试题信息、项目合作等相关事项的保密工作。</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4.投标人需配合处理好资格复审及面试过程中可能产生的考生咨询及投诉问题，对于因投标人考务组织及后勤保障不力出现的重大问题，甲方有权要求投标人做出相应赔偿。</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5.投标人报价必须唯一，不得提供选择性报价，不得低于公司成本价。</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6.投标人在履约过程中可能产生的差旅费、误餐费、住宿费等均由投标人自行承担。</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投标人资质要求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1.满足《中华人民共和国政府采购法》第二十二条规定（投标人在投标文件中签署《政府采购投标及履约承诺函》即可）;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2.投标人必须具有独立承担民事责任的能力，不接受分公司或者分支机构参与投标；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3.参与本项目投标前三年内，在经营活动中没有重大违法记录（由投标人在《政府采购投标及履约承诺函》中作出承诺）；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4.参与本项目政府采购活动时不存在被有关部门禁止参与政府采购活动且在有效期内的情况（由投标人在《政府采购投标及履约承诺函》中作出承诺）；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本项目政府采购活动时未被列入失信被执行人、重大税收违法案件当事人名单、政府采购严重违法失信行为记录名单（由投标人在《政府采购投标及履约承诺函》中作出声明）；注：“信用中国”、“中国政府采购网”、“深圳信用网”以及“深圳市政府采购监管网”为投标人信用信息的查询渠道。</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6.本项目不接受联合体投标，不允许</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rPr>
        <w:t>转包、分包。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7.要求投标人营业范围具备人力资源服务、人才测评或人才评价相关内容。</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黑体" w:hAnsi="黑体" w:eastAsia="黑体" w:cs="黑体"/>
          <w:bCs/>
          <w:kern w:val="0"/>
          <w:sz w:val="32"/>
          <w:szCs w:val="32"/>
          <w:lang w:val="en-US" w:eastAsia="zh-CN"/>
        </w:rPr>
      </w:pPr>
      <w:r>
        <w:rPr>
          <w:rFonts w:hint="eastAsia" w:ascii="仿宋_GB2312" w:hAnsi="仿宋_GB2312" w:eastAsia="仿宋_GB2312" w:cs="仿宋_GB2312"/>
          <w:bCs/>
          <w:kern w:val="0"/>
          <w:sz w:val="32"/>
          <w:szCs w:val="32"/>
          <w:lang w:val="en-US" w:eastAsia="zh-CN"/>
        </w:rPr>
        <w:t>完成项目约定服务且履约验收合格后，投标人开具正式票据，甲方收到投标人票据后按深圳市龙岗区财政局有关规定向投标人一次性支付服务费。</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接收投标文件地点和投标截止时间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1.接收投标文件地点：深圳市龙岗区清林中路213号教育综合大厦608室；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黑体" w:hAnsi="黑体" w:eastAsia="黑体" w:cs="黑体"/>
          <w:bCs/>
          <w:kern w:val="0"/>
          <w:sz w:val="32"/>
          <w:szCs w:val="32"/>
          <w:lang w:val="en-US" w:eastAsia="zh-CN"/>
        </w:rPr>
      </w:pPr>
      <w:r>
        <w:rPr>
          <w:rFonts w:hint="eastAsia" w:ascii="仿宋_GB2312" w:hAnsi="仿宋_GB2312" w:eastAsia="仿宋_GB2312" w:cs="仿宋_GB2312"/>
          <w:bCs/>
          <w:kern w:val="0"/>
          <w:sz w:val="32"/>
          <w:szCs w:val="32"/>
          <w:lang w:val="en-US" w:eastAsia="zh-CN"/>
        </w:rPr>
        <w:t>2.投标截止时间：2025年2月21日9</w:t>
      </w:r>
      <w:bookmarkStart w:id="0" w:name="_GoBack"/>
      <w:bookmarkEnd w:id="0"/>
      <w:r>
        <w:rPr>
          <w:rFonts w:hint="eastAsia" w:ascii="仿宋_GB2312" w:hAnsi="仿宋_GB2312" w:eastAsia="仿宋_GB2312" w:cs="仿宋_GB2312"/>
          <w:bCs/>
          <w:kern w:val="0"/>
          <w:sz w:val="32"/>
          <w:szCs w:val="32"/>
          <w:lang w:val="en-US" w:eastAsia="zh-CN"/>
        </w:rPr>
        <w:t>:00。</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业务咨询</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联系人：联系电话：0755-89551913</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地址：</w:t>
      </w:r>
      <w:r>
        <w:rPr>
          <w:rFonts w:hint="eastAsia" w:ascii="仿宋_GB2312" w:hAnsi="仿宋_GB2312" w:eastAsia="仿宋_GB2312" w:cs="仿宋_GB2312"/>
          <w:bCs/>
          <w:kern w:val="0"/>
          <w:sz w:val="32"/>
          <w:szCs w:val="32"/>
        </w:rPr>
        <w:t>龙岗区中心城清林中路213号教育综合大厦</w:t>
      </w:r>
    </w:p>
    <w:p>
      <w:pPr>
        <w:pStyle w:val="2"/>
        <w:rPr>
          <w:rFonts w:hint="eastAsia" w:ascii="仿宋_GB2312" w:hAnsi="仿宋_GB2312" w:eastAsia="仿宋_GB2312" w:cs="仿宋_GB2312"/>
          <w:bCs/>
          <w:kern w:val="0"/>
          <w:sz w:val="32"/>
          <w:szCs w:val="32"/>
        </w:rPr>
      </w:pPr>
    </w:p>
    <w:p>
      <w:pPr>
        <w:ind w:firstLine="640" w:firstLineChars="200"/>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附件：1.综合评分标准</w:t>
      </w:r>
    </w:p>
    <w:p>
      <w:pPr>
        <w:pStyle w:val="2"/>
        <w:rPr>
          <w:rFonts w:hint="default"/>
          <w:lang w:val="en-US" w:eastAsia="zh-CN"/>
        </w:rPr>
      </w:pPr>
      <w:r>
        <w:rPr>
          <w:rFonts w:hint="eastAsia" w:ascii="仿宋_GB2312" w:hAnsi="仿宋_GB2312" w:eastAsia="仿宋_GB2312" w:cs="仿宋_GB2312"/>
          <w:bCs/>
          <w:kern w:val="0"/>
          <w:sz w:val="32"/>
          <w:szCs w:val="32"/>
          <w:lang w:val="en-US" w:eastAsia="zh-CN"/>
        </w:rPr>
        <w:t xml:space="preserve">          2.报价单</w:t>
      </w: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both"/>
        <w:textAlignment w:val="auto"/>
        <w:rPr>
          <w:rFonts w:hint="eastAsia" w:ascii="仿宋_GB2312" w:hAnsi="仿宋_GB2312" w:eastAsia="仿宋_GB2312" w:cs="仿宋_GB2312"/>
          <w:bCs/>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深圳市龙岗区教育局    </w:t>
      </w: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kern w:val="0"/>
          <w:sz w:val="32"/>
          <w:szCs w:val="32"/>
          <w:lang w:val="en-US" w:eastAsia="zh-CN"/>
        </w:rPr>
      </w:pPr>
      <w:r>
        <w:rPr>
          <w:rFonts w:hint="eastAsia" w:ascii="仿宋_GB2312" w:hAnsi="仿宋_GB2312" w:eastAsia="仿宋_GB2312" w:cs="仿宋_GB2312"/>
          <w:bCs/>
          <w:kern w:val="0"/>
          <w:sz w:val="32"/>
          <w:szCs w:val="32"/>
          <w:lang w:val="en-US" w:eastAsia="zh-CN"/>
        </w:rPr>
        <w:t>2025年2月18日</w:t>
      </w:r>
      <w:r>
        <w:rPr>
          <w:rFonts w:hint="eastAsia" w:ascii="仿宋" w:hAnsi="仿宋" w:eastAsia="仿宋" w:cs="仿宋"/>
          <w:bCs/>
          <w:kern w:val="0"/>
          <w:sz w:val="32"/>
          <w:szCs w:val="32"/>
          <w:lang w:val="en-US" w:eastAsia="zh-CN"/>
        </w:rPr>
        <w:t xml:space="preserve">     </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附件1：报价单</w:t>
      </w:r>
    </w:p>
    <w:tbl>
      <w:tblPr>
        <w:tblStyle w:val="13"/>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684"/>
        <w:gridCol w:w="827"/>
        <w:gridCol w:w="3799"/>
        <w:gridCol w:w="1165"/>
        <w:gridCol w:w="94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6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内容</w:t>
            </w: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分项</w:t>
            </w:r>
          </w:p>
        </w:tc>
        <w:tc>
          <w:tcPr>
            <w:tcW w:w="49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具体要求</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b/>
                <w:bCs/>
                <w:sz w:val="21"/>
                <w:szCs w:val="21"/>
                <w:vertAlign w:val="baseline"/>
                <w:lang w:val="en-US" w:eastAsia="zh-CN"/>
              </w:rPr>
              <w:t>报价(元）</w:t>
            </w: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6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资格复审服务</w:t>
            </w: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vertAlign w:val="baseline"/>
                <w:lang w:val="en-US" w:eastAsia="zh-CN"/>
              </w:rPr>
              <w:t>场地租赁</w:t>
            </w:r>
          </w:p>
        </w:tc>
        <w:tc>
          <w:tcPr>
            <w:tcW w:w="49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1.资格复审场地由中标人和甲方协商确定，若最终场地无需支付租赁费，则此项不实际支出；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default"/>
                <w:lang w:val="en-US" w:eastAsia="zh-CN"/>
              </w:rPr>
            </w:pPr>
            <w:r>
              <w:rPr>
                <w:rFonts w:hint="eastAsia" w:ascii="仿宋_GB2312" w:hAnsi="仿宋_GB2312" w:eastAsia="仿宋_GB2312" w:cs="仿宋_GB2312"/>
                <w:sz w:val="21"/>
                <w:szCs w:val="21"/>
                <w:vertAlign w:val="baseline"/>
                <w:lang w:val="en-US" w:eastAsia="zh-CN"/>
              </w:rPr>
              <w:t>2.资格复审组别预计6组，参与人数预计300人；</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color w:val="BFBFBF" w:themeColor="background1" w:themeShade="BF"/>
                <w:sz w:val="21"/>
                <w:szCs w:val="21"/>
                <w:vertAlign w:val="baseline"/>
                <w:lang w:val="en-US" w:eastAsia="zh-CN"/>
              </w:rPr>
            </w:pPr>
          </w:p>
        </w:tc>
        <w:tc>
          <w:tcPr>
            <w:tcW w:w="6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审查组别按6组测算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rPr>
            </w:pPr>
          </w:p>
        </w:tc>
        <w:tc>
          <w:tcPr>
            <w:tcW w:w="8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场地布置</w:t>
            </w:r>
          </w:p>
        </w:tc>
        <w:tc>
          <w:tcPr>
            <w:tcW w:w="4964"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1.投标人负责场地整体布置；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2.投标人负责审查场地各广告喷绘图如审查须知、路线指引牌、审查组别指示牌和其他指示牌等的设计、制作及摆放布置；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3.负责审查场地桌椅及各项物资等的摆放及回收；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4.提前半天完成资格复审各场地监控布置，确保监控无死角；监控视频能在资格复审结束后1天内移交甲方，存储监控硬盘由投标人提供。</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BFBFBF" w:themeColor="background1" w:themeShade="BF"/>
                <w:kern w:val="2"/>
                <w:sz w:val="21"/>
                <w:szCs w:val="21"/>
                <w:vertAlign w:val="baseline"/>
                <w:lang w:val="en-US" w:eastAsia="zh-CN" w:bidi="ar-SA"/>
              </w:rPr>
            </w:pPr>
          </w:p>
        </w:tc>
        <w:tc>
          <w:tcPr>
            <w:tcW w:w="658"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文具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耗材</w:t>
            </w:r>
          </w:p>
        </w:tc>
        <w:tc>
          <w:tcPr>
            <w:tcW w:w="49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投标人负责提供签字笔、凤尾夹、纸巾、尺子、订书机、订书针、档案袋、手提袋、纸箱、排插、打印碳粉盒、A4纸、A3纸等必要的文具物料耗材。</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BFBFBF" w:themeColor="background1" w:themeShade="BF"/>
                <w:sz w:val="21"/>
                <w:szCs w:val="21"/>
                <w:vertAlign w:val="baseline"/>
                <w:lang w:val="en-US" w:eastAsia="zh-CN"/>
              </w:rPr>
            </w:pP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用餐</w:t>
            </w:r>
          </w:p>
        </w:tc>
        <w:tc>
          <w:tcPr>
            <w:tcW w:w="49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vertAlign w:val="baseline"/>
                <w:lang w:val="en-US" w:eastAsia="zh-CN" w:bidi="ar-SA"/>
              </w:rPr>
              <w:t>1.</w:t>
            </w:r>
            <w:r>
              <w:rPr>
                <w:rFonts w:hint="eastAsia" w:ascii="仿宋_GB2312" w:hAnsi="仿宋_GB2312" w:eastAsia="仿宋_GB2312" w:cs="仿宋_GB2312"/>
                <w:sz w:val="21"/>
                <w:szCs w:val="21"/>
                <w:vertAlign w:val="baseline"/>
                <w:lang w:val="en-US" w:eastAsia="zh-CN"/>
              </w:rPr>
              <w:t>提供全体工作人员营养健康早餐、午餐，早餐标准25元/人，午餐标准50元/人；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 w:val="21"/>
                <w:szCs w:val="21"/>
                <w:vertAlign w:val="baseline"/>
                <w:lang w:val="en-US" w:eastAsia="zh-CN"/>
              </w:rPr>
              <w:t>全体工作人员数量按照40人测算。</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BFBFBF" w:themeColor="background1" w:themeShade="BF"/>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3000</w:t>
            </w: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固定价，据实结算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饮水茶歇</w:t>
            </w:r>
          </w:p>
        </w:tc>
        <w:tc>
          <w:tcPr>
            <w:tcW w:w="49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提供全体工作人员及考生所需的饮用水、茶歇等，此项报价不得超过1000元，最终据实结算。</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劳务费</w:t>
            </w:r>
          </w:p>
        </w:tc>
        <w:tc>
          <w:tcPr>
            <w:tcW w:w="49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全体参与资格复审工作人员劳务费。预计40人，按人均500元/人测算，最终可根据岗位不同上下浮动进行支付，但不得超总测算价。</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20000</w:t>
            </w: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固定价，据实结算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面试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组织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服务</w:t>
            </w:r>
          </w:p>
        </w:tc>
        <w:tc>
          <w:tcPr>
            <w:tcW w:w="8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场地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布置</w:t>
            </w:r>
          </w:p>
        </w:tc>
        <w:tc>
          <w:tcPr>
            <w:tcW w:w="4964"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1.投标人负责场地租赁布置等；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2.负责各类广告指引牌、警戒线等的布置，包括门口广告喷绘（含考场分布、考场规则等，3m*4m，1个）、路线指引牌、楼层考场分布及规则图、候考室门牌、面试室门牌、倒计时牌及其他必要的指示牌等；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3.负责面试场地桌椅及各项物资等的摆放及回收；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4.提前半天完成面试各场地监控布置，确保监控无死角；监控视频能在面试结束后1天内移交甲方，存储监控硬盘由投标人提供（可与资格复审监控视频存放在一起）。</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BFBFBF" w:themeColor="background1" w:themeShade="BF"/>
                <w:sz w:val="21"/>
                <w:szCs w:val="21"/>
                <w:vertAlign w:val="baseline"/>
                <w:lang w:val="en-US" w:eastAsia="zh-CN"/>
              </w:rPr>
            </w:pPr>
          </w:p>
        </w:tc>
        <w:tc>
          <w:tcPr>
            <w:tcW w:w="65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评分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系统</w:t>
            </w:r>
          </w:p>
        </w:tc>
        <w:tc>
          <w:tcPr>
            <w:tcW w:w="4964"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面试室按照</w:t>
            </w:r>
            <w:r>
              <w:rPr>
                <w:rFonts w:hint="eastAsia" w:ascii="仿宋_GB2312" w:hAnsi="仿宋_GB2312" w:eastAsia="仿宋_GB2312" w:cs="仿宋_GB2312"/>
                <w:b/>
                <w:bCs/>
                <w:sz w:val="21"/>
                <w:szCs w:val="21"/>
                <w:vertAlign w:val="baseline"/>
                <w:lang w:val="en-US" w:eastAsia="zh-CN"/>
              </w:rPr>
              <w:t>6间</w:t>
            </w:r>
            <w:r>
              <w:rPr>
                <w:rFonts w:hint="eastAsia" w:ascii="仿宋_GB2312" w:hAnsi="仿宋_GB2312" w:eastAsia="仿宋_GB2312" w:cs="仿宋_GB2312"/>
                <w:sz w:val="21"/>
                <w:szCs w:val="21"/>
                <w:vertAlign w:val="baseline"/>
                <w:lang w:val="en-US" w:eastAsia="zh-CN"/>
              </w:rPr>
              <w:t>测算。投标人提前半天完成面试考试系统的调试安装，包含评分系统、笔记本、打印机等的布置，能确保考官评分流程不出现卡顿、掉线等影响面试的突发情况，投标人应提前准备至少2套评分系统应急备用。</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BFBFBF" w:themeColor="background1" w:themeShade="BF"/>
                <w:sz w:val="21"/>
                <w:szCs w:val="21"/>
                <w:vertAlign w:val="baseline"/>
                <w:lang w:val="en-US" w:eastAsia="zh-CN"/>
              </w:rPr>
            </w:pP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文具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耗材</w:t>
            </w:r>
          </w:p>
        </w:tc>
        <w:tc>
          <w:tcPr>
            <w:tcW w:w="4964"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面试室按照</w:t>
            </w:r>
            <w:r>
              <w:rPr>
                <w:rFonts w:hint="eastAsia" w:ascii="仿宋_GB2312" w:hAnsi="仿宋_GB2312" w:eastAsia="仿宋_GB2312" w:cs="仿宋_GB2312"/>
                <w:b/>
                <w:bCs/>
                <w:sz w:val="21"/>
                <w:szCs w:val="21"/>
                <w:vertAlign w:val="baseline"/>
                <w:lang w:val="en-US" w:eastAsia="zh-CN"/>
              </w:rPr>
              <w:t>6间</w:t>
            </w:r>
            <w:r>
              <w:rPr>
                <w:rFonts w:hint="eastAsia" w:ascii="仿宋_GB2312" w:hAnsi="仿宋_GB2312" w:eastAsia="仿宋_GB2312" w:cs="仿宋_GB2312"/>
                <w:sz w:val="21"/>
                <w:szCs w:val="21"/>
                <w:vertAlign w:val="baseline"/>
                <w:lang w:val="en-US" w:eastAsia="zh-CN"/>
              </w:rPr>
              <w:t>测算。投标人提供面试需要的签字笔、纸巾、胸牌、座位牌、计时器、倒计时牌、铃铛、凤尾夹、订书机、订书针、直尺、传送成绩档案袋、存放面试材料手提袋、纸箱（存放考生教案）、排插、A4纸、A3纸等必要的文具物料耗材。</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BFBFBF" w:themeColor="background1" w:themeShade="BF"/>
                <w:sz w:val="21"/>
                <w:szCs w:val="21"/>
                <w:vertAlign w:val="baseline"/>
                <w:lang w:val="en-US" w:eastAsia="zh-CN"/>
              </w:rPr>
            </w:pP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用餐</w:t>
            </w:r>
          </w:p>
        </w:tc>
        <w:tc>
          <w:tcPr>
            <w:tcW w:w="4964"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1.提供全体工作人员营养健康早餐、午餐、早餐标准不超过25元/人，午餐标准不超过50元/人，工作人员按100人测算；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right="0" w:rightChars="0"/>
              <w:jc w:val="left"/>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vertAlign w:val="baseline"/>
                <w:lang w:val="en-US" w:eastAsia="zh-CN"/>
              </w:rPr>
              <w:t>2.提供面试当天下午场封闭考生午餐，考生人数按照150人测算；</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color w:val="BFBFBF" w:themeColor="background1" w:themeShade="BF"/>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15000</w:t>
            </w: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固定价，据实结算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饮水茶歇</w:t>
            </w:r>
          </w:p>
        </w:tc>
        <w:tc>
          <w:tcPr>
            <w:tcW w:w="4964"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提供全体工作人员及考生所需的饮用水、茶歇等，此项报价不得超过1000元，最终据实结算。</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color w:val="BFBFBF" w:themeColor="background1" w:themeShade="BF"/>
                <w:sz w:val="21"/>
                <w:szCs w:val="21"/>
                <w:vertAlign w:val="baseline"/>
                <w:lang w:val="en-US" w:eastAsia="zh-CN"/>
              </w:rPr>
            </w:pP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82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劳务费</w:t>
            </w:r>
          </w:p>
        </w:tc>
        <w:tc>
          <w:tcPr>
            <w:tcW w:w="4964" w:type="dxa"/>
            <w:gridSpan w:val="2"/>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全体参加面试工作人员劳务费。预计100人，按人均800元/人测算，最终可根据岗位不同上下浮动进行支付，但不得超总测算价。</w:t>
            </w:r>
          </w:p>
        </w:tc>
        <w:tc>
          <w:tcPr>
            <w:tcW w:w="94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80000</w:t>
            </w:r>
          </w:p>
        </w:tc>
        <w:tc>
          <w:tcPr>
            <w:tcW w:w="658"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固定价，据实结算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4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68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其他</w:t>
            </w:r>
          </w:p>
        </w:tc>
        <w:tc>
          <w:tcPr>
            <w:tcW w:w="827"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考务组织管理费（含税费）</w:t>
            </w:r>
          </w:p>
        </w:tc>
        <w:tc>
          <w:tcPr>
            <w:tcW w:w="3799"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该项为投标人考务组织管理及税费。投标人在第1、2项报价总额基础上*收费比例，收费比例由投标人自行确定。</w:t>
            </w:r>
          </w:p>
        </w:tc>
        <w:tc>
          <w:tcPr>
            <w:tcW w:w="116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收费比例</w:t>
            </w:r>
          </w:p>
        </w:tc>
        <w:tc>
          <w:tcPr>
            <w:tcW w:w="944"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58" w:type="dxa"/>
            <w:vMerge w:val="restar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4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6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8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7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116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kern w:val="2"/>
                <w:sz w:val="21"/>
                <w:szCs w:val="21"/>
                <w:vertAlign w:val="baseline"/>
                <w:lang w:val="en-US" w:eastAsia="zh-CN" w:bidi="ar-SA"/>
              </w:rPr>
            </w:pPr>
          </w:p>
        </w:tc>
        <w:tc>
          <w:tcPr>
            <w:tcW w:w="944" w:type="dxa"/>
            <w:vMerge w:val="continue"/>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65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w:t>
            </w:r>
          </w:p>
        </w:tc>
        <w:tc>
          <w:tcPr>
            <w:tcW w:w="647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合计</w:t>
            </w:r>
          </w:p>
        </w:tc>
        <w:tc>
          <w:tcPr>
            <w:tcW w:w="94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sz w:val="21"/>
                <w:szCs w:val="21"/>
                <w:vertAlign w:val="baseline"/>
                <w:lang w:val="en-US" w:eastAsia="zh-CN"/>
              </w:rPr>
            </w:pPr>
          </w:p>
        </w:tc>
        <w:tc>
          <w:tcPr>
            <w:tcW w:w="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right="0" w:rightChars="0"/>
              <w:jc w:val="center"/>
              <w:textAlignment w:val="auto"/>
              <w:outlineLvl w:val="9"/>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521"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1.以上各项价格最终以实际产生经费为准支付，但不得超总预算价；</w:t>
            </w:r>
          </w:p>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2.投标人投标即视为有技术和业务实力满足甲方以上考务要求，请投标人严肃认真阅读各项考务要求及政府采购投标履约承诺函的内容。</w:t>
            </w:r>
          </w:p>
        </w:tc>
      </w:tr>
    </w:tbl>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lang w:val="en-US" w:eastAsia="zh-CN"/>
        </w:rPr>
      </w:pPr>
      <w:r>
        <w:rPr>
          <w:rFonts w:hint="eastAsia"/>
          <w:lang w:val="en-US" w:eastAsia="zh-CN"/>
        </w:rPr>
        <w:br w:type="page"/>
      </w: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附件2：综合评分标准</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rFonts w:hint="eastAsia" w:ascii="宋体" w:hAnsi="宋体" w:eastAsia="宋体" w:cs="宋体"/>
          <w:color w:val="auto"/>
          <w:kern w:val="0"/>
          <w:sz w:val="21"/>
          <w:szCs w:val="21"/>
          <w:lang w:val="en-US" w:eastAsia="zh-CN" w:bidi="ar-SA"/>
        </w:rPr>
        <w:t>评标委员会按照以下量化评审因素，对各投标文件进行分析和比较。</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sz w:val="21"/>
          <w:szCs w:val="21"/>
        </w:rPr>
        <w:t>价格分计算方法：</w:t>
      </w:r>
      <w:r>
        <w:rPr>
          <w:rFonts w:ascii="Times New Roman" w:hAnsi="Times New Roman" w:eastAsia="宋体" w:cs="Times New Roman"/>
          <w:kern w:val="2"/>
          <w:sz w:val="21"/>
          <w:szCs w:val="21"/>
          <w:lang w:val="en-US" w:eastAsia="zh-CN" w:bidi="ar-SA"/>
        </w:rPr>
        <w:t>采用低价优先法计算，即满足招标文件要求且投标价格最低的投标报价为</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0"/>
          <w:sz w:val="21"/>
          <w:szCs w:val="21"/>
          <w:lang w:val="en-US" w:eastAsia="zh-CN" w:bidi="ar-SA"/>
        </w:rPr>
      </w:pPr>
      <w:r>
        <w:rPr>
          <w:rFonts w:ascii="Times New Roman" w:hAnsi="Times New Roman" w:eastAsia="宋体" w:cs="Times New Roman"/>
          <w:kern w:val="2"/>
          <w:sz w:val="21"/>
          <w:szCs w:val="21"/>
          <w:lang w:val="en-US" w:eastAsia="zh-CN" w:bidi="ar-SA"/>
        </w:rPr>
        <w:t>评标基准价，其价格分为满分。其他投标人的价格分统一按照下列公式计算：</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投标报价得分=(评标基准价／投标报价)</w:t>
      </w:r>
      <w:r>
        <w:rPr>
          <w:rFonts w:hint="eastAsia" w:ascii="Times New Roman" w:hAnsi="Times New Roman" w:eastAsia="宋体" w:cs="Times New Roman"/>
          <w:kern w:val="2"/>
          <w:sz w:val="21"/>
          <w:szCs w:val="21"/>
          <w:lang w:val="en-US" w:eastAsia="zh-CN" w:bidi="ar-SA"/>
        </w:rPr>
        <w:t>*权重</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320"/>
        <w:gridCol w:w="722"/>
        <w:gridCol w:w="5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272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567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1</w:t>
            </w:r>
          </w:p>
        </w:tc>
        <w:tc>
          <w:tcPr>
            <w:tcW w:w="272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价格</w:t>
            </w:r>
          </w:p>
        </w:tc>
        <w:tc>
          <w:tcPr>
            <w:tcW w:w="5670"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lang w:val="en-US" w:eastAsia="zh-CN"/>
              </w:rPr>
            </w:pPr>
            <w:r>
              <w:rPr>
                <w:rFonts w:hint="eastAsia" w:eastAsia="宋体"/>
                <w:b/>
                <w:bCs/>
                <w:color w:val="0000FF"/>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2722" w:type="dxa"/>
            <w:gridSpan w:val="3"/>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c>
          <w:tcPr>
            <w:tcW w:w="5670"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wordWrap w:val="0"/>
              <w:jc w:val="center"/>
              <w:rPr>
                <w:rFonts w:ascii="宋体" w:hAnsi="宋体" w:cs="宋体"/>
                <w:b/>
                <w:bCs/>
                <w:color w:val="0000FF"/>
                <w:sz w:val="24"/>
              </w:rPr>
            </w:pPr>
            <w:r>
              <w:rPr>
                <w:b/>
                <w:bCs/>
                <w:color w:val="0000FF"/>
              </w:rPr>
              <w:t>2</w:t>
            </w:r>
          </w:p>
        </w:tc>
        <w:tc>
          <w:tcPr>
            <w:tcW w:w="272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670"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13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567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eastAsia="宋体" w:cs="宋体"/>
                <w:color w:val="auto"/>
                <w:kern w:val="0"/>
                <w:sz w:val="21"/>
                <w:szCs w:val="21"/>
                <w:lang w:val="en-US" w:eastAsia="zh-CN"/>
              </w:rPr>
              <w:t>项目整体</w:t>
            </w:r>
            <w:r>
              <w:rPr>
                <w:rFonts w:hint="eastAsia" w:ascii="宋体" w:hAnsi="宋体" w:eastAsia="宋体" w:cs="宋体"/>
                <w:color w:val="auto"/>
                <w:kern w:val="0"/>
                <w:sz w:val="21"/>
                <w:szCs w:val="21"/>
              </w:rPr>
              <w:t>实施</w:t>
            </w:r>
            <w:r>
              <w:rPr>
                <w:rFonts w:hint="eastAsia" w:ascii="宋体" w:hAnsi="宋体" w:eastAsia="宋体" w:cs="宋体"/>
                <w:color w:val="auto"/>
                <w:kern w:val="0"/>
                <w:sz w:val="21"/>
                <w:szCs w:val="21"/>
                <w:lang w:eastAsia="zh-CN"/>
              </w:rPr>
              <w:t>方案</w:t>
            </w:r>
          </w:p>
        </w:tc>
        <w:tc>
          <w:tcPr>
            <w:tcW w:w="7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eastAsia="宋体" w:cs="宋体"/>
                <w:color w:val="auto"/>
                <w:kern w:val="0"/>
                <w:sz w:val="21"/>
                <w:szCs w:val="21"/>
                <w:lang w:val="en-US" w:eastAsia="zh-CN"/>
              </w:rPr>
              <w:t>15</w:t>
            </w:r>
          </w:p>
        </w:tc>
        <w:tc>
          <w:tcPr>
            <w:tcW w:w="5670"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结合采购要求，对项目</w:t>
            </w:r>
            <w:r>
              <w:rPr>
                <w:rFonts w:hint="eastAsia" w:ascii="宋体" w:hAnsi="宋体" w:eastAsia="宋体" w:cs="宋体"/>
                <w:color w:val="auto"/>
                <w:kern w:val="0"/>
                <w:sz w:val="21"/>
                <w:szCs w:val="21"/>
                <w:lang w:val="en-US" w:eastAsia="zh-CN"/>
              </w:rPr>
              <w:t>中要求的资格复审及面试等各项内容进行整体梳理规划</w:t>
            </w:r>
            <w:r>
              <w:rPr>
                <w:rFonts w:hint="eastAsia" w:ascii="宋体" w:hAnsi="宋体" w:eastAsia="宋体" w:cs="宋体"/>
                <w:color w:val="auto"/>
                <w:kern w:val="0"/>
                <w:sz w:val="21"/>
                <w:szCs w:val="21"/>
              </w:rPr>
              <w:t>。包括但不限于以下内容：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1、资格复审实施方案；</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2、面试组织实施方案；</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3、项目实施保密方案。</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1、每提供上述任意一项内容得3分，本小项累计最高得9分；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在此基础上，</w:t>
            </w:r>
            <w:r>
              <w:rPr>
                <w:rFonts w:hint="eastAsia" w:ascii="宋体" w:hAnsi="宋体" w:cs="宋体"/>
                <w:szCs w:val="21"/>
                <w:lang w:val="en-US" w:eastAsia="zh-CN"/>
              </w:rPr>
              <w:t>评审</w:t>
            </w:r>
            <w:r>
              <w:rPr>
                <w:rFonts w:hint="eastAsia" w:ascii="宋体" w:hAnsi="宋体" w:cs="宋体"/>
                <w:szCs w:val="21"/>
              </w:rPr>
              <w:t>专家根据各供应商的具体响应内容按照量化的评审因素指标进一步评审：</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6</w:t>
            </w:r>
            <w:r>
              <w:rPr>
                <w:rFonts w:hint="eastAsia" w:ascii="宋体" w:hAnsi="宋体" w:cs="宋体"/>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3</w:t>
            </w:r>
            <w:r>
              <w:rPr>
                <w:rFonts w:hint="eastAsia" w:ascii="宋体" w:hAnsi="宋体" w:cs="宋体"/>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1</w:t>
            </w:r>
            <w:r>
              <w:rPr>
                <w:rFonts w:hint="eastAsia" w:ascii="宋体" w:hAnsi="宋体" w:cs="宋体"/>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ascii="宋体" w:hAnsi="宋体" w:cs="宋体"/>
                <w:szCs w:val="21"/>
              </w:rPr>
            </w:pPr>
            <w:r>
              <w:rPr>
                <w:rFonts w:hint="eastAsia" w:ascii="宋体" w:hAnsi="宋体" w:cs="宋体"/>
                <w:szCs w:val="21"/>
              </w:rPr>
              <w:t>（4）方案不合理、无针对性、无可操作性，评审为差的，加0分。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eastAsia="宋体" w:cs="宋体"/>
                <w:sz w:val="21"/>
                <w:szCs w:val="21"/>
                <w:lang w:val="en-US" w:eastAsia="zh-CN"/>
              </w:rPr>
              <w:t>项目重难点分析</w:t>
            </w:r>
          </w:p>
        </w:tc>
        <w:tc>
          <w:tcPr>
            <w:tcW w:w="7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eastAsia="宋体" w:cs="宋体"/>
                <w:sz w:val="21"/>
                <w:szCs w:val="21"/>
              </w:rPr>
              <w:t>1</w:t>
            </w:r>
            <w:r>
              <w:rPr>
                <w:rFonts w:hint="eastAsia" w:ascii="宋体" w:hAnsi="宋体" w:eastAsia="宋体" w:cs="宋体"/>
                <w:sz w:val="21"/>
                <w:szCs w:val="21"/>
                <w:lang w:val="en"/>
              </w:rPr>
              <w:t>5</w:t>
            </w:r>
          </w:p>
        </w:tc>
        <w:tc>
          <w:tcPr>
            <w:tcW w:w="5670"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查看</w:t>
            </w:r>
            <w:r>
              <w:rPr>
                <w:rFonts w:hint="eastAsia" w:ascii="宋体" w:hAnsi="宋体" w:eastAsia="宋体" w:cs="宋体"/>
                <w:color w:val="auto"/>
                <w:kern w:val="0"/>
                <w:sz w:val="21"/>
                <w:szCs w:val="21"/>
              </w:rPr>
              <w:t>投标人提供的</w:t>
            </w:r>
            <w:r>
              <w:rPr>
                <w:rFonts w:hint="eastAsia" w:ascii="宋体" w:hAnsi="宋体" w:eastAsia="宋体" w:cs="宋体"/>
                <w:color w:val="auto"/>
                <w:kern w:val="0"/>
                <w:sz w:val="21"/>
                <w:szCs w:val="21"/>
                <w:lang w:val="en-US" w:eastAsia="zh-CN"/>
              </w:rPr>
              <w:t>该项目</w:t>
            </w:r>
            <w:r>
              <w:rPr>
                <w:rFonts w:hint="eastAsia" w:ascii="宋体" w:hAnsi="宋体" w:eastAsia="宋体" w:cs="宋体"/>
                <w:color w:val="auto"/>
                <w:sz w:val="21"/>
                <w:szCs w:val="21"/>
              </w:rPr>
              <w:t>方案及防范措施</w:t>
            </w:r>
            <w:r>
              <w:rPr>
                <w:rFonts w:hint="eastAsia" w:ascii="宋体" w:hAnsi="宋体" w:eastAsia="宋体" w:cs="宋体"/>
                <w:color w:val="auto"/>
                <w:kern w:val="0"/>
                <w:sz w:val="21"/>
                <w:szCs w:val="21"/>
              </w:rPr>
              <w:t>，包含以下内容：</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项目重点分析</w:t>
            </w:r>
            <w:r>
              <w:rPr>
                <w:rFonts w:hint="eastAsia" w:ascii="宋体" w:hAnsi="宋体" w:cs="宋体"/>
                <w:color w:val="auto"/>
                <w:sz w:val="21"/>
                <w:szCs w:val="21"/>
                <w:lang w:val="en-US" w:eastAsia="zh-CN"/>
              </w:rPr>
              <w:t>；</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项目难点分析</w:t>
            </w:r>
            <w:r>
              <w:rPr>
                <w:rFonts w:hint="eastAsia" w:ascii="宋体" w:hAnsi="宋体" w:cs="宋体"/>
                <w:color w:val="auto"/>
                <w:sz w:val="21"/>
                <w:szCs w:val="21"/>
                <w:lang w:val="en-US" w:eastAsia="zh-CN"/>
              </w:rPr>
              <w:t>；</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项目重点、难点应对措施</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1、每提供上述任意一项内容得3分，本小项累计最高得9分；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在此基础上，专家根据各供应商的具体响应内容按照量化的评审因素指标进一步评审：</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6</w:t>
            </w:r>
            <w:r>
              <w:rPr>
                <w:rFonts w:hint="eastAsia" w:ascii="宋体" w:hAnsi="宋体" w:cs="宋体"/>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3</w:t>
            </w:r>
            <w:r>
              <w:rPr>
                <w:rFonts w:hint="eastAsia" w:ascii="宋体" w:hAnsi="宋体" w:cs="宋体"/>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1</w:t>
            </w:r>
            <w:r>
              <w:rPr>
                <w:rFonts w:hint="eastAsia" w:ascii="宋体" w:hAnsi="宋体" w:cs="宋体"/>
                <w:szCs w:val="21"/>
              </w:rPr>
              <w:t>分；</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ascii="宋体" w:hAnsi="宋体" w:cs="宋体"/>
                <w:szCs w:val="21"/>
              </w:rPr>
            </w:pPr>
            <w:r>
              <w:rPr>
                <w:rFonts w:hint="eastAsia" w:ascii="宋体" w:hAnsi="宋体" w:cs="宋体"/>
                <w:szCs w:val="21"/>
              </w:rPr>
              <w:t>（4）方案不合理、无针对性、无可操作性，评审为差的，加0分。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应急服务</w:t>
            </w:r>
            <w:r>
              <w:rPr>
                <w:rFonts w:hint="eastAsia" w:ascii="宋体" w:hAnsi="宋体" w:eastAsia="宋体" w:cs="宋体"/>
                <w:sz w:val="21"/>
                <w:szCs w:val="21"/>
                <w:lang w:eastAsia="zh-CN"/>
              </w:rPr>
              <w:t>方案</w:t>
            </w:r>
          </w:p>
        </w:tc>
        <w:tc>
          <w:tcPr>
            <w:tcW w:w="7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0</w:t>
            </w:r>
          </w:p>
        </w:tc>
        <w:tc>
          <w:tcPr>
            <w:tcW w:w="5670"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查看</w:t>
            </w:r>
            <w:r>
              <w:rPr>
                <w:rFonts w:hint="eastAsia" w:ascii="宋体" w:hAnsi="宋体" w:eastAsia="宋体" w:cs="宋体"/>
                <w:color w:val="auto"/>
                <w:kern w:val="0"/>
                <w:sz w:val="21"/>
                <w:szCs w:val="21"/>
              </w:rPr>
              <w:t>投标人提供的</w:t>
            </w:r>
            <w:r>
              <w:rPr>
                <w:rFonts w:hint="eastAsia" w:ascii="宋体" w:hAnsi="宋体" w:eastAsia="宋体" w:cs="宋体"/>
                <w:color w:val="auto"/>
                <w:sz w:val="21"/>
                <w:szCs w:val="21"/>
              </w:rPr>
              <w:t>非正常情况或突发情况下的应急处理方案及防范措施</w:t>
            </w:r>
            <w:r>
              <w:rPr>
                <w:rFonts w:hint="eastAsia" w:ascii="宋体" w:hAnsi="宋体" w:eastAsia="宋体" w:cs="宋体"/>
                <w:color w:val="auto"/>
                <w:kern w:val="0"/>
                <w:sz w:val="21"/>
                <w:szCs w:val="21"/>
              </w:rPr>
              <w:t>，包含以下内容：</w:t>
            </w:r>
          </w:p>
          <w:p>
            <w:pPr>
              <w:keepNext w:val="0"/>
              <w:keepLines w:val="0"/>
              <w:pageBreakBefore w:val="0"/>
              <w:numPr>
                <w:ilvl w:val="0"/>
                <w:numId w:val="5"/>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梳理项目实施过程中可能出现的突发情况</w:t>
            </w:r>
            <w:r>
              <w:rPr>
                <w:rFonts w:hint="eastAsia" w:ascii="宋体" w:hAnsi="宋体" w:eastAsia="宋体" w:cs="宋体"/>
                <w:color w:val="auto"/>
                <w:sz w:val="21"/>
                <w:szCs w:val="21"/>
              </w:rPr>
              <w:t>；</w:t>
            </w:r>
          </w:p>
          <w:p>
            <w:pPr>
              <w:keepNext w:val="0"/>
              <w:keepLines w:val="0"/>
              <w:pageBreakBefore w:val="0"/>
              <w:numPr>
                <w:ilvl w:val="0"/>
                <w:numId w:val="5"/>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针对突发意外情况的</w:t>
            </w:r>
            <w:r>
              <w:rPr>
                <w:rFonts w:hint="eastAsia" w:ascii="宋体" w:hAnsi="宋体" w:eastAsia="宋体" w:cs="宋体"/>
                <w:color w:val="auto"/>
                <w:sz w:val="21"/>
                <w:szCs w:val="21"/>
              </w:rPr>
              <w:t>应急</w:t>
            </w:r>
            <w:r>
              <w:rPr>
                <w:rFonts w:hint="eastAsia" w:ascii="宋体" w:hAnsi="宋体" w:eastAsia="宋体" w:cs="宋体"/>
                <w:color w:val="auto"/>
                <w:sz w:val="21"/>
                <w:szCs w:val="21"/>
                <w:lang w:val="en-US" w:eastAsia="zh-CN"/>
              </w:rPr>
              <w:t>解决</w:t>
            </w:r>
            <w:r>
              <w:rPr>
                <w:rFonts w:hint="eastAsia" w:ascii="宋体" w:hAnsi="宋体" w:eastAsia="宋体" w:cs="宋体"/>
                <w:color w:val="auto"/>
                <w:sz w:val="21"/>
                <w:szCs w:val="21"/>
              </w:rPr>
              <w:t>保障方案；</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针对突发意外情况需涉及的</w:t>
            </w:r>
            <w:r>
              <w:rPr>
                <w:rFonts w:hint="eastAsia" w:ascii="宋体" w:hAnsi="宋体" w:eastAsia="宋体" w:cs="宋体"/>
                <w:color w:val="auto"/>
                <w:sz w:val="21"/>
                <w:szCs w:val="21"/>
              </w:rPr>
              <w:t>应急设备及应急服务人员介绍；</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针对突发意外情况的</w:t>
            </w:r>
            <w:r>
              <w:rPr>
                <w:rFonts w:hint="eastAsia" w:ascii="宋体" w:hAnsi="宋体" w:eastAsia="宋体" w:cs="宋体"/>
                <w:color w:val="auto"/>
                <w:sz w:val="21"/>
                <w:szCs w:val="21"/>
              </w:rPr>
              <w:t>应急响应时间</w:t>
            </w:r>
            <w:r>
              <w:rPr>
                <w:rFonts w:hint="eastAsia" w:ascii="宋体" w:hAnsi="宋体" w:cs="宋体"/>
                <w:color w:val="auto"/>
                <w:sz w:val="21"/>
                <w:szCs w:val="21"/>
                <w:lang w:eastAsia="zh-CN"/>
              </w:rPr>
              <w:t>。</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1、每提供上述任意一项内容得1分，本小项累计最高得4分；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在此基础上，专家根据各供应商的具体响应内容按照量化的评审因素指标进一步评审：</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6</w:t>
            </w:r>
            <w:r>
              <w:rPr>
                <w:rFonts w:hint="eastAsia" w:ascii="宋体" w:hAnsi="宋体" w:cs="宋体"/>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3</w:t>
            </w:r>
            <w:r>
              <w:rPr>
                <w:rFonts w:hint="eastAsia" w:ascii="宋体" w:hAnsi="宋体" w:cs="宋体"/>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1</w:t>
            </w:r>
            <w:r>
              <w:rPr>
                <w:rFonts w:hint="eastAsia" w:ascii="宋体" w:hAnsi="宋体" w:cs="宋体"/>
                <w:szCs w:val="21"/>
              </w:rPr>
              <w:t>分；</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ascii="宋体" w:hAnsi="宋体" w:cs="宋体"/>
                <w:szCs w:val="21"/>
              </w:rPr>
            </w:pPr>
            <w:r>
              <w:rPr>
                <w:rFonts w:hint="eastAsia" w:ascii="宋体" w:hAnsi="宋体" w:cs="宋体"/>
                <w:szCs w:val="21"/>
              </w:rPr>
              <w:t>（4）方案不合理、无针对性、无可操作性，评审为差的，加0分。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default" w:ascii="宋体" w:hAnsi="宋体" w:cs="宋体"/>
                <w:szCs w:val="21"/>
                <w:lang w:val="en-US"/>
              </w:rPr>
            </w:pPr>
            <w:r>
              <w:rPr>
                <w:rFonts w:hint="eastAsia" w:ascii="宋体" w:hAnsi="宋体" w:cs="宋体"/>
                <w:kern w:val="0"/>
                <w:sz w:val="21"/>
                <w:szCs w:val="21"/>
                <w:lang w:val="en-US" w:eastAsia="zh-CN"/>
              </w:rPr>
              <w:t>项目负责人（仅一名）</w:t>
            </w:r>
          </w:p>
        </w:tc>
        <w:tc>
          <w:tcPr>
            <w:tcW w:w="7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ascii="宋体" w:hAnsi="宋体" w:cs="宋体"/>
                <w:szCs w:val="21"/>
              </w:rPr>
            </w:pPr>
            <w:r>
              <w:rPr>
                <w:rFonts w:hint="eastAsia" w:ascii="宋体" w:hAnsi="宋体" w:cs="宋体"/>
                <w:szCs w:val="21"/>
                <w:lang w:val="en-US" w:eastAsia="zh-CN"/>
              </w:rPr>
              <w:t>10</w:t>
            </w:r>
          </w:p>
        </w:tc>
        <w:tc>
          <w:tcPr>
            <w:tcW w:w="5670"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lang w:eastAsia="zh-CN"/>
              </w:rPr>
            </w:pPr>
            <w:r>
              <w:rPr>
                <w:rFonts w:hint="eastAsia" w:ascii="宋体" w:hAnsi="宋体" w:cs="宋体"/>
                <w:szCs w:val="21"/>
              </w:rPr>
              <w:t>拟</w:t>
            </w:r>
            <w:r>
              <w:rPr>
                <w:rFonts w:hint="eastAsia" w:ascii="宋体" w:hAnsi="宋体" w:cs="宋体"/>
                <w:szCs w:val="21"/>
                <w:lang w:val="en-US" w:eastAsia="zh-CN"/>
              </w:rPr>
              <w:t>安排的</w:t>
            </w:r>
            <w:r>
              <w:rPr>
                <w:rFonts w:hint="eastAsia" w:ascii="宋体" w:hAnsi="宋体" w:cs="宋体"/>
                <w:szCs w:val="21"/>
              </w:rPr>
              <w:t>项目负责人</w:t>
            </w:r>
            <w:r>
              <w:rPr>
                <w:rFonts w:hint="eastAsia" w:ascii="宋体" w:hAnsi="宋体" w:cs="宋体"/>
                <w:szCs w:val="21"/>
                <w:lang w:eastAsia="zh-CN"/>
              </w:rPr>
              <w:t>（</w:t>
            </w:r>
            <w:r>
              <w:rPr>
                <w:rFonts w:hint="eastAsia" w:ascii="宋体" w:hAnsi="宋体" w:cs="宋体"/>
                <w:szCs w:val="21"/>
                <w:lang w:val="en-US" w:eastAsia="zh-CN"/>
              </w:rPr>
              <w:t>仅一名</w:t>
            </w:r>
            <w:r>
              <w:rPr>
                <w:rFonts w:hint="eastAsia" w:ascii="宋体" w:hAnsi="宋体" w:cs="宋体"/>
                <w:szCs w:val="21"/>
                <w:lang w:eastAsia="zh-CN"/>
              </w:rPr>
              <w:t>）</w:t>
            </w:r>
            <w:r>
              <w:rPr>
                <w:rFonts w:hint="eastAsia" w:ascii="宋体" w:hAnsi="宋体" w:cs="宋体"/>
                <w:szCs w:val="21"/>
              </w:rPr>
              <w:t>为投标人自有员工，在此基础上</w:t>
            </w:r>
            <w:r>
              <w:rPr>
                <w:rFonts w:hint="eastAsia" w:ascii="宋体" w:hAnsi="宋体" w:cs="宋体"/>
                <w:szCs w:val="21"/>
                <w:lang w:val="en-US" w:eastAsia="zh-CN"/>
              </w:rPr>
              <w:t>进行评审，</w:t>
            </w:r>
            <w:r>
              <w:rPr>
                <w:rFonts w:hint="eastAsia" w:ascii="宋体" w:hAnsi="宋体" w:cs="宋体"/>
                <w:color w:val="auto"/>
                <w:kern w:val="0"/>
                <w:sz w:val="21"/>
                <w:szCs w:val="21"/>
                <w:lang w:val="en-US" w:eastAsia="zh-CN"/>
              </w:rPr>
              <w:t>否则不得分</w:t>
            </w:r>
            <w:r>
              <w:rPr>
                <w:rFonts w:hint="eastAsia" w:ascii="宋体" w:hAnsi="宋体" w:cs="宋体"/>
                <w:szCs w:val="21"/>
                <w:lang w:eastAsia="zh-CN"/>
              </w:rPr>
              <w:t>：</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lang w:val="en-US" w:eastAsia="zh-CN"/>
              </w:rPr>
            </w:pPr>
            <w:r>
              <w:rPr>
                <w:rFonts w:hint="eastAsia" w:ascii="宋体" w:hAnsi="宋体" w:cs="宋体"/>
                <w:szCs w:val="21"/>
                <w:lang w:eastAsia="zh-CN"/>
              </w:rPr>
              <w:t>1、</w:t>
            </w:r>
            <w:r>
              <w:rPr>
                <w:rFonts w:hint="eastAsia" w:ascii="宋体" w:hAnsi="宋体" w:cs="宋体"/>
                <w:szCs w:val="21"/>
                <w:lang w:val="en-US" w:eastAsia="zh-CN"/>
              </w:rPr>
              <w:t>具有本科（</w:t>
            </w:r>
            <w:r>
              <w:rPr>
                <w:rFonts w:hint="eastAsia" w:ascii="宋体" w:hAnsi="宋体" w:cs="宋体"/>
                <w:szCs w:val="21"/>
              </w:rPr>
              <w:t>或以上</w:t>
            </w:r>
            <w:r>
              <w:rPr>
                <w:rFonts w:hint="eastAsia" w:ascii="宋体" w:hAnsi="宋体" w:cs="宋体"/>
                <w:szCs w:val="21"/>
                <w:lang w:eastAsia="zh-CN"/>
              </w:rPr>
              <w:t>）</w:t>
            </w:r>
            <w:r>
              <w:rPr>
                <w:rFonts w:hint="eastAsia" w:ascii="宋体" w:hAnsi="宋体" w:cs="宋体"/>
                <w:szCs w:val="21"/>
              </w:rPr>
              <w:t>学历</w:t>
            </w:r>
            <w:r>
              <w:rPr>
                <w:rFonts w:hint="eastAsia" w:ascii="宋体" w:hAnsi="宋体" w:cs="宋体"/>
                <w:szCs w:val="21"/>
                <w:lang w:val="en-US" w:eastAsia="zh-CN"/>
              </w:rPr>
              <w:t>的，得5分</w:t>
            </w:r>
            <w:r>
              <w:rPr>
                <w:rFonts w:hint="eastAsia" w:ascii="宋体" w:hAnsi="宋体" w:cs="宋体"/>
                <w:szCs w:val="21"/>
              </w:rPr>
              <w:t>；</w:t>
            </w:r>
          </w:p>
          <w:p>
            <w:pPr>
              <w:keepNext w:val="0"/>
              <w:keepLines w:val="0"/>
              <w:pageBreakBefore w:val="0"/>
              <w:tabs>
                <w:tab w:val="left" w:pos="175"/>
              </w:tabs>
              <w:kinsoku/>
              <w:wordWrap/>
              <w:overflowPunct/>
              <w:topLinePunct w:val="0"/>
              <w:bidi w:val="0"/>
              <w:adjustRightInd/>
              <w:snapToGrid/>
              <w:spacing w:beforeAutospacing="0" w:afterAutospacing="0" w:line="240" w:lineRule="auto"/>
              <w:ind w:left="33"/>
              <w:jc w:val="left"/>
              <w:textAlignment w:val="auto"/>
              <w:rPr>
                <w:rFonts w:hint="eastAsia" w:ascii="宋体" w:hAnsi="宋体" w:cs="宋体"/>
                <w:szCs w:val="21"/>
                <w:lang w:val="en-US" w:eastAsia="zh-CN"/>
              </w:rPr>
            </w:pPr>
            <w:r>
              <w:rPr>
                <w:rFonts w:hint="eastAsia" w:ascii="宋体" w:hAnsi="宋体" w:cs="宋体"/>
                <w:szCs w:val="21"/>
                <w:lang w:val="en-US" w:eastAsia="zh-CN"/>
              </w:rPr>
              <w:t>2、具有政府机关</w:t>
            </w:r>
            <w:r>
              <w:rPr>
                <w:rFonts w:hint="eastAsia"/>
                <w:lang w:val="en-US" w:eastAsia="zh-CN"/>
              </w:rPr>
              <w:t>或事业单位</w:t>
            </w:r>
            <w:r>
              <w:rPr>
                <w:rFonts w:hint="eastAsia" w:ascii="宋体" w:hAnsi="宋体" w:cs="宋体"/>
                <w:szCs w:val="21"/>
                <w:lang w:val="en-US" w:eastAsia="zh-CN"/>
              </w:rPr>
              <w:t>委托的人事招聘考试类项目经验的，每提供一项得1，最高得5分，</w:t>
            </w:r>
            <w:r>
              <w:rPr>
                <w:rFonts w:hint="eastAsia" w:ascii="宋体" w:hAnsi="宋体" w:eastAsia="宋体" w:cs="宋体"/>
                <w:b w:val="0"/>
                <w:bCs/>
                <w:color w:val="auto"/>
                <w:sz w:val="21"/>
                <w:szCs w:val="21"/>
                <w:highlight w:val="none"/>
              </w:rPr>
              <w:t>长期续签合同只计算一个</w:t>
            </w:r>
            <w:r>
              <w:rPr>
                <w:rFonts w:hint="eastAsia" w:ascii="宋体" w:hAnsi="宋体" w:cs="宋体"/>
                <w:b w:val="0"/>
                <w:bCs/>
                <w:color w:val="auto"/>
                <w:sz w:val="21"/>
                <w:szCs w:val="21"/>
                <w:highlight w:val="none"/>
                <w:lang w:val="en-US" w:eastAsia="zh-CN"/>
              </w:rPr>
              <w:t>项目经验</w:t>
            </w:r>
            <w:r>
              <w:rPr>
                <w:rFonts w:hint="eastAsia" w:ascii="宋体" w:hAnsi="宋体" w:cs="宋体"/>
                <w:b w:val="0"/>
                <w:bCs/>
                <w:color w:val="auto"/>
                <w:sz w:val="21"/>
                <w:szCs w:val="21"/>
                <w:highlight w:val="none"/>
                <w:lang w:eastAsia="zh-CN"/>
              </w:rPr>
              <w:t>。</w:t>
            </w:r>
          </w:p>
          <w:p>
            <w:pPr>
              <w:adjustRightInd w:val="0"/>
              <w:snapToGrid w:val="0"/>
              <w:spacing w:line="240" w:lineRule="auto"/>
              <w:rPr>
                <w:rFonts w:hint="default" w:ascii="宋体" w:hAnsi="宋体" w:cs="宋体"/>
                <w:szCs w:val="21"/>
                <w:lang w:val="en-US" w:eastAsia="zh-CN"/>
              </w:rPr>
            </w:pPr>
            <w:r>
              <w:rPr>
                <w:rFonts w:hint="eastAsia" w:ascii="宋体" w:hAnsi="宋体" w:cs="宋体"/>
                <w:szCs w:val="21"/>
                <w:lang w:val="en-US" w:eastAsia="zh-CN"/>
              </w:rPr>
              <w:t>上述两项累计最高得10分。</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cs="宋体"/>
                <w:b w:val="0"/>
                <w:bCs w:val="0"/>
                <w:szCs w:val="21"/>
                <w:lang w:eastAsia="zh-CN"/>
              </w:rPr>
            </w:pPr>
            <w:r>
              <w:rPr>
                <w:rFonts w:hint="eastAsia" w:ascii="宋体" w:hAnsi="宋体" w:cs="宋体"/>
                <w:b/>
                <w:color w:val="auto"/>
                <w:kern w:val="0"/>
                <w:sz w:val="21"/>
                <w:szCs w:val="21"/>
                <w:lang w:eastAsia="zh-CN"/>
              </w:rPr>
              <w:t>（二）评分依据：</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1、</w:t>
            </w:r>
            <w:r>
              <w:rPr>
                <w:rFonts w:hint="eastAsia" w:ascii="宋体" w:hAnsi="宋体" w:cs="宋体"/>
                <w:b/>
                <w:bCs/>
                <w:szCs w:val="21"/>
                <w:lang w:val="en-US" w:eastAsia="zh-CN"/>
              </w:rPr>
              <w:t>自有员工证明：</w:t>
            </w:r>
            <w:r>
              <w:rPr>
                <w:rFonts w:hint="eastAsia" w:ascii="宋体" w:hAnsi="宋体" w:cs="宋体"/>
                <w:szCs w:val="21"/>
              </w:rPr>
              <w:t>提供社保部门出具的投标人为其缴纳的近1个月社保证明文件，由于社保部门原因（提供社保局无法出具的证明文件）最近1个月的社保证明无法提供的，则可以往前顺延一个月；如投标人注册成立时间不足1个月的，可提供承诺函（格式自拟）；未按要求提供的，投入的该人员作不得分处理。</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2、学历证明</w:t>
            </w:r>
            <w:r>
              <w:rPr>
                <w:rFonts w:hint="eastAsia" w:ascii="宋体" w:hAnsi="宋体" w:cs="宋体"/>
                <w:b/>
                <w:bCs/>
                <w:szCs w:val="21"/>
                <w:lang w:eastAsia="zh-CN"/>
              </w:rPr>
              <w:t>：</w:t>
            </w:r>
            <w:r>
              <w:rPr>
                <w:rFonts w:hint="eastAsia" w:ascii="宋体" w:hAnsi="宋体" w:cs="宋体"/>
                <w:szCs w:val="21"/>
              </w:rPr>
              <w:t>提供学历证书以及学信网（https://www.chsi.com.cn/）验证结果网页截图；对于较早颁发的学历证书，学信网无法查询的，可提供其他佐证材料（如毕业院校、人社部门等颁发机构或监管机构等单位出具的证明）扫描件；若提供的是国（境）外学历证书扫描件（以及中文翻译件），提供教育部留学服务中心出具的国外学历学位认证书；</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rPr>
            </w:pPr>
            <w:r>
              <w:rPr>
                <w:rFonts w:hint="eastAsia" w:ascii="宋体" w:hAnsi="宋体" w:cs="宋体"/>
                <w:b/>
                <w:bCs/>
                <w:szCs w:val="21"/>
                <w:lang w:val="en-US" w:eastAsia="zh-CN"/>
              </w:rPr>
              <w:t>3、项目经验证明：</w:t>
            </w:r>
            <w:r>
              <w:rPr>
                <w:rFonts w:hint="eastAsia" w:ascii="宋体" w:hAnsi="宋体" w:cs="宋体"/>
                <w:szCs w:val="21"/>
              </w:rPr>
              <w:t>要求提供项目合同关键信息作为评分依据(关键信息包括但不限于项目名称、服务内容、</w:t>
            </w:r>
            <w:r>
              <w:rPr>
                <w:rFonts w:hint="eastAsia" w:ascii="宋体" w:hAnsi="宋体" w:cs="宋体"/>
                <w:b/>
                <w:bCs/>
                <w:szCs w:val="21"/>
              </w:rPr>
              <w:t>项目负责人姓名</w:t>
            </w:r>
            <w:r>
              <w:rPr>
                <w:rFonts w:hint="eastAsia" w:ascii="宋体" w:hAnsi="宋体" w:cs="宋体"/>
                <w:szCs w:val="21"/>
              </w:rPr>
              <w:t>、盖章页、合同签订日期等)</w:t>
            </w:r>
            <w:r>
              <w:rPr>
                <w:rFonts w:hint="eastAsia" w:ascii="宋体" w:hAnsi="宋体" w:cs="宋体"/>
                <w:szCs w:val="21"/>
                <w:lang w:eastAsia="zh-CN"/>
              </w:rPr>
              <w:t>，</w:t>
            </w:r>
            <w:r>
              <w:rPr>
                <w:rFonts w:hint="eastAsia" w:ascii="宋体" w:hAnsi="宋体" w:cs="宋体"/>
                <w:szCs w:val="21"/>
              </w:rPr>
              <w:t>若所提供的合同无法体现人员姓名，</w:t>
            </w:r>
            <w:r>
              <w:rPr>
                <w:rFonts w:hint="eastAsia" w:ascii="宋体" w:hAnsi="宋体" w:cs="宋体"/>
                <w:szCs w:val="21"/>
                <w:lang w:val="en-US" w:eastAsia="zh-CN"/>
              </w:rPr>
              <w:t>还需同时</w:t>
            </w:r>
            <w:r>
              <w:rPr>
                <w:rFonts w:hint="eastAsia" w:ascii="宋体" w:hAnsi="宋体" w:cs="宋体"/>
                <w:szCs w:val="21"/>
              </w:rPr>
              <w:t>提供</w:t>
            </w:r>
            <w:r>
              <w:rPr>
                <w:rFonts w:hint="eastAsia" w:ascii="宋体" w:hAnsi="宋体" w:cs="宋体"/>
                <w:szCs w:val="21"/>
                <w:lang w:val="en-US" w:eastAsia="zh-CN"/>
              </w:rPr>
              <w:t>采购单位</w:t>
            </w:r>
            <w:r>
              <w:rPr>
                <w:rFonts w:hint="eastAsia" w:ascii="宋体" w:hAnsi="宋体" w:cs="宋体"/>
                <w:szCs w:val="21"/>
              </w:rPr>
              <w:t>或</w:t>
            </w:r>
            <w:r>
              <w:rPr>
                <w:rFonts w:hint="eastAsia" w:ascii="宋体" w:hAnsi="宋体" w:cs="宋体"/>
                <w:szCs w:val="21"/>
                <w:lang w:val="en-US" w:eastAsia="zh-CN"/>
              </w:rPr>
              <w:t>被</w:t>
            </w:r>
            <w:r>
              <w:rPr>
                <w:rFonts w:hint="eastAsia" w:ascii="宋体" w:hAnsi="宋体" w:cs="宋体"/>
                <w:szCs w:val="21"/>
              </w:rPr>
              <w:t>服务单位出具的加盖公章或业务章的证明文件。</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上述材料</w:t>
            </w:r>
            <w:r>
              <w:rPr>
                <w:rFonts w:hint="eastAsia" w:ascii="宋体" w:hAnsi="宋体" w:cs="宋体"/>
                <w:szCs w:val="21"/>
              </w:rPr>
              <w:t>原件备查，如未按要求提供证明材料，或所提供的证明材料未能体现上述评分内容导致专家无法判断的不得分。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cs="宋体"/>
                <w:szCs w:val="21"/>
                <w:lang w:val="en-US" w:eastAsia="zh-CN"/>
              </w:rPr>
            </w:pPr>
            <w:r>
              <w:rPr>
                <w:rFonts w:hint="eastAsia" w:ascii="宋体" w:hAnsi="宋体" w:cs="宋体"/>
                <w:szCs w:val="21"/>
                <w:lang w:val="en-US" w:eastAsia="zh-CN"/>
              </w:rPr>
              <w:t>5</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项目团队成员（项目负责人除外）</w:t>
            </w:r>
          </w:p>
        </w:tc>
        <w:tc>
          <w:tcPr>
            <w:tcW w:w="7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default" w:ascii="宋体" w:hAnsi="宋体" w:cs="宋体"/>
                <w:szCs w:val="21"/>
                <w:lang w:val="en-US" w:eastAsia="zh-CN"/>
              </w:rPr>
            </w:pPr>
            <w:r>
              <w:rPr>
                <w:rFonts w:hint="eastAsia" w:ascii="宋体" w:hAnsi="宋体" w:cs="宋体"/>
                <w:snapToGrid w:val="0"/>
                <w:kern w:val="0"/>
                <w:sz w:val="21"/>
                <w:szCs w:val="21"/>
                <w:lang w:val="en-US" w:eastAsia="zh-CN"/>
              </w:rPr>
              <w:t>15</w:t>
            </w:r>
          </w:p>
        </w:tc>
        <w:tc>
          <w:tcPr>
            <w:tcW w:w="5670"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sz w:val="21"/>
                <w:szCs w:val="21"/>
                <w:lang w:eastAsia="zh-CN"/>
              </w:rPr>
            </w:pPr>
            <w:r>
              <w:rPr>
                <w:rFonts w:hint="eastAsia" w:ascii="宋体" w:hAnsi="宋体" w:cs="宋体"/>
                <w:b/>
                <w:sz w:val="21"/>
                <w:szCs w:val="21"/>
                <w:lang w:eastAsia="zh-CN"/>
              </w:rPr>
              <w:t>（一）评分内容：</w:t>
            </w:r>
          </w:p>
          <w:p>
            <w:pPr>
              <w:pStyle w:val="7"/>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拟</w:t>
            </w:r>
            <w:r>
              <w:rPr>
                <w:rFonts w:hint="eastAsia" w:ascii="宋体" w:hAnsi="宋体" w:eastAsia="宋体" w:cs="宋体"/>
                <w:color w:val="auto"/>
                <w:kern w:val="0"/>
                <w:sz w:val="21"/>
                <w:szCs w:val="21"/>
              </w:rPr>
              <w:t>投入项目的</w:t>
            </w:r>
            <w:r>
              <w:rPr>
                <w:rFonts w:hint="eastAsia" w:ascii="宋体" w:hAnsi="宋体" w:cs="宋体"/>
                <w:color w:val="auto"/>
                <w:kern w:val="0"/>
                <w:sz w:val="21"/>
                <w:szCs w:val="21"/>
                <w:lang w:val="en-US" w:eastAsia="zh-CN"/>
              </w:rPr>
              <w:t>项目团队成员</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项目负责人除外</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为投标单位自有员工，</w:t>
            </w:r>
            <w:r>
              <w:rPr>
                <w:rFonts w:hint="eastAsia" w:hAnsi="宋体" w:cs="宋体"/>
                <w:color w:val="auto"/>
                <w:kern w:val="0"/>
                <w:sz w:val="21"/>
                <w:szCs w:val="21"/>
                <w:lang w:val="en-US" w:eastAsia="zh-CN"/>
              </w:rPr>
              <w:t>要求</w:t>
            </w:r>
            <w:r>
              <w:rPr>
                <w:rFonts w:hint="eastAsia" w:ascii="宋体" w:hAnsi="宋体" w:cs="宋体"/>
                <w:color w:val="auto"/>
                <w:kern w:val="0"/>
                <w:sz w:val="21"/>
                <w:szCs w:val="21"/>
                <w:lang w:val="en-US" w:eastAsia="zh-CN"/>
              </w:rPr>
              <w:t>团队成员数量</w:t>
            </w:r>
            <w:r>
              <w:rPr>
                <w:rFonts w:hint="eastAsia" w:ascii="宋体" w:hAnsi="宋体" w:eastAsia="宋体" w:cs="宋体"/>
                <w:color w:val="auto"/>
                <w:kern w:val="0"/>
                <w:sz w:val="21"/>
                <w:szCs w:val="21"/>
                <w:lang w:val="en-US" w:eastAsia="zh-CN"/>
              </w:rPr>
              <w:t>不少于</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0人</w:t>
            </w:r>
            <w:r>
              <w:rPr>
                <w:rFonts w:hint="eastAsia" w:hAnsi="宋体" w:eastAsia="宋体" w:cs="宋体"/>
                <w:color w:val="auto"/>
                <w:kern w:val="0"/>
                <w:sz w:val="21"/>
                <w:szCs w:val="21"/>
                <w:lang w:val="en-US" w:eastAsia="zh-CN"/>
              </w:rPr>
              <w:t>且为</w:t>
            </w:r>
            <w:r>
              <w:rPr>
                <w:rFonts w:hint="eastAsia" w:ascii="宋体" w:hAnsi="宋体" w:cs="宋体"/>
                <w:color w:val="auto"/>
                <w:kern w:val="0"/>
                <w:sz w:val="21"/>
                <w:szCs w:val="21"/>
                <w:lang w:val="en-US" w:eastAsia="zh-CN"/>
              </w:rPr>
              <w:t>本科</w:t>
            </w:r>
            <w:r>
              <w:rPr>
                <w:rFonts w:hint="eastAsia" w:hAnsi="宋体" w:cs="宋体"/>
                <w:color w:val="auto"/>
                <w:kern w:val="0"/>
                <w:sz w:val="21"/>
                <w:szCs w:val="21"/>
                <w:lang w:val="en-US" w:eastAsia="zh-CN"/>
              </w:rPr>
              <w:t>或以上</w:t>
            </w:r>
            <w:r>
              <w:rPr>
                <w:rFonts w:hint="eastAsia" w:ascii="宋体" w:hAnsi="宋体" w:cs="宋体"/>
                <w:color w:val="auto"/>
                <w:kern w:val="0"/>
                <w:sz w:val="21"/>
                <w:szCs w:val="21"/>
                <w:lang w:val="en-US" w:eastAsia="zh-CN"/>
              </w:rPr>
              <w:t>学历</w:t>
            </w:r>
            <w:r>
              <w:rPr>
                <w:rFonts w:hint="eastAsia"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在此基础上</w:t>
            </w:r>
            <w:r>
              <w:rPr>
                <w:rFonts w:hint="eastAsia" w:ascii="宋体" w:hAnsi="宋体" w:cs="宋体"/>
                <w:color w:val="auto"/>
                <w:kern w:val="0"/>
                <w:sz w:val="21"/>
                <w:szCs w:val="21"/>
                <w:lang w:val="en-US" w:eastAsia="zh-CN"/>
              </w:rPr>
              <w:t>进行</w:t>
            </w:r>
            <w:r>
              <w:rPr>
                <w:rFonts w:hint="eastAsia" w:ascii="宋体" w:hAnsi="宋体" w:eastAsia="宋体" w:cs="宋体"/>
                <w:color w:val="auto"/>
                <w:kern w:val="0"/>
                <w:sz w:val="21"/>
                <w:szCs w:val="21"/>
                <w:lang w:val="en-US" w:eastAsia="zh-CN"/>
              </w:rPr>
              <w:t>评审</w:t>
            </w:r>
            <w:r>
              <w:rPr>
                <w:rFonts w:hint="eastAsia" w:ascii="宋体" w:hAnsi="宋体" w:cs="宋体"/>
                <w:color w:val="auto"/>
                <w:kern w:val="0"/>
                <w:sz w:val="21"/>
                <w:szCs w:val="21"/>
                <w:lang w:val="en-US" w:eastAsia="zh-CN"/>
              </w:rPr>
              <w:t>，否则不得分</w:t>
            </w:r>
            <w:r>
              <w:rPr>
                <w:rFonts w:hint="eastAsia" w:ascii="宋体" w:hAnsi="宋体" w:eastAsia="宋体" w:cs="宋体"/>
                <w:color w:val="auto"/>
                <w:kern w:val="0"/>
                <w:sz w:val="21"/>
                <w:szCs w:val="21"/>
                <w:lang w:val="en-US" w:eastAsia="zh-CN"/>
              </w:rPr>
              <w:t>：</w:t>
            </w:r>
          </w:p>
          <w:p>
            <w:pPr>
              <w:pStyle w:val="7"/>
              <w:keepNext w:val="0"/>
              <w:keepLines w:val="0"/>
              <w:pageBreakBefore w:val="0"/>
              <w:numPr>
                <w:ilvl w:val="0"/>
                <w:numId w:val="6"/>
              </w:numPr>
              <w:kinsoku/>
              <w:wordWrap/>
              <w:overflowPunct/>
              <w:topLinePunct w:val="0"/>
              <w:bidi w:val="0"/>
              <w:spacing w:beforeAutospacing="0" w:afterAutospacing="0" w:line="240" w:lineRule="auto"/>
              <w:ind w:leftChars="0"/>
              <w:textAlignment w:val="auto"/>
              <w:rPr>
                <w:rFonts w:hint="eastAsia" w:ascii="宋体" w:hAnsi="宋体" w:eastAsia="宋体" w:cs="宋体"/>
                <w:color w:val="000000"/>
                <w:sz w:val="21"/>
                <w:szCs w:val="21"/>
              </w:rPr>
            </w:pPr>
            <w:r>
              <w:rPr>
                <w:rFonts w:hint="eastAsia" w:hAnsi="宋体" w:cs="宋体"/>
                <w:color w:val="000000"/>
                <w:sz w:val="21"/>
                <w:szCs w:val="21"/>
                <w:lang w:val="en-US" w:eastAsia="zh-CN"/>
              </w:rPr>
              <w:t>团队成员在20人基础上，每提供一名</w:t>
            </w:r>
            <w:r>
              <w:rPr>
                <w:rFonts w:hint="eastAsia" w:ascii="宋体" w:hAnsi="宋体" w:eastAsia="宋体" w:cs="宋体"/>
                <w:color w:val="000000"/>
                <w:sz w:val="21"/>
                <w:szCs w:val="21"/>
              </w:rPr>
              <w:t>具备人力资源管理师</w:t>
            </w:r>
            <w:r>
              <w:rPr>
                <w:rFonts w:hint="eastAsia" w:hAnsi="宋体" w:cs="宋体"/>
                <w:color w:val="000000"/>
                <w:sz w:val="21"/>
                <w:szCs w:val="21"/>
                <w:lang w:val="en-US" w:eastAsia="zh-CN"/>
              </w:rPr>
              <w:t>证书或企业人力资源管理师证书的</w:t>
            </w:r>
            <w:r>
              <w:rPr>
                <w:rFonts w:hint="eastAsia" w:ascii="宋体" w:hAnsi="宋体" w:eastAsia="宋体" w:cs="宋体"/>
                <w:color w:val="000000"/>
                <w:sz w:val="21"/>
                <w:szCs w:val="21"/>
              </w:rPr>
              <w:t>得</w:t>
            </w:r>
            <w:r>
              <w:rPr>
                <w:rFonts w:hint="eastAsia" w:hAnsi="宋体" w:eastAsia="宋体" w:cs="宋体"/>
                <w:color w:val="000000"/>
                <w:sz w:val="21"/>
                <w:szCs w:val="21"/>
                <w:lang w:val="en-US" w:eastAsia="zh-CN"/>
              </w:rPr>
              <w:t>1</w:t>
            </w:r>
            <w:r>
              <w:rPr>
                <w:rFonts w:hint="eastAsia" w:ascii="宋体" w:hAnsi="宋体" w:eastAsia="宋体" w:cs="宋体"/>
                <w:color w:val="000000"/>
                <w:sz w:val="21"/>
                <w:szCs w:val="21"/>
              </w:rPr>
              <w:t>分，</w:t>
            </w:r>
            <w:r>
              <w:rPr>
                <w:rFonts w:hint="eastAsia" w:hAnsi="宋体" w:cs="宋体"/>
                <w:color w:val="000000"/>
                <w:sz w:val="21"/>
                <w:szCs w:val="21"/>
                <w:lang w:val="en-US" w:eastAsia="zh-CN"/>
              </w:rPr>
              <w:t>本小项</w:t>
            </w:r>
            <w:r>
              <w:rPr>
                <w:rFonts w:hint="eastAsia" w:ascii="宋体" w:hAnsi="宋体" w:eastAsia="宋体" w:cs="宋体"/>
                <w:color w:val="000000"/>
                <w:sz w:val="21"/>
                <w:szCs w:val="21"/>
              </w:rPr>
              <w:t>最高得</w:t>
            </w:r>
            <w:r>
              <w:rPr>
                <w:rFonts w:hint="eastAsia" w:hAnsi="宋体" w:eastAsia="宋体" w:cs="宋体"/>
                <w:color w:val="000000"/>
                <w:sz w:val="21"/>
                <w:szCs w:val="21"/>
                <w:lang w:val="en-US" w:eastAsia="zh-CN"/>
              </w:rPr>
              <w:t>5</w:t>
            </w:r>
            <w:r>
              <w:rPr>
                <w:rFonts w:hint="eastAsia" w:ascii="宋体" w:hAnsi="宋体" w:eastAsia="宋体" w:cs="宋体"/>
                <w:color w:val="000000"/>
                <w:sz w:val="21"/>
                <w:szCs w:val="21"/>
              </w:rPr>
              <w:t>分。</w:t>
            </w:r>
          </w:p>
          <w:p>
            <w:pPr>
              <w:pStyle w:val="7"/>
              <w:keepNext w:val="0"/>
              <w:keepLines w:val="0"/>
              <w:pageBreakBefore w:val="0"/>
              <w:numPr>
                <w:ilvl w:val="0"/>
                <w:numId w:val="6"/>
              </w:numPr>
              <w:kinsoku/>
              <w:wordWrap/>
              <w:overflowPunct/>
              <w:topLinePunct w:val="0"/>
              <w:bidi w:val="0"/>
              <w:spacing w:beforeAutospacing="0" w:afterAutospacing="0" w:line="240" w:lineRule="auto"/>
              <w:ind w:leftChars="0"/>
              <w:textAlignment w:val="auto"/>
              <w:rPr>
                <w:rFonts w:hint="eastAsia" w:hAnsi="宋体" w:cs="宋体"/>
                <w:color w:val="auto"/>
                <w:kern w:val="0"/>
                <w:sz w:val="21"/>
                <w:szCs w:val="21"/>
                <w:lang w:val="en-US" w:eastAsia="zh-CN"/>
              </w:rPr>
            </w:pPr>
            <w:r>
              <w:rPr>
                <w:rFonts w:hint="eastAsia" w:hAnsi="宋体" w:cs="宋体"/>
                <w:color w:val="000000"/>
                <w:sz w:val="21"/>
                <w:szCs w:val="21"/>
                <w:lang w:val="en-US" w:eastAsia="zh-CN"/>
              </w:rPr>
              <w:t>团队成员在20人基础上，</w:t>
            </w:r>
            <w:r>
              <w:rPr>
                <w:rFonts w:hint="eastAsia" w:hAnsi="宋体" w:cs="宋体"/>
                <w:color w:val="auto"/>
                <w:kern w:val="0"/>
                <w:sz w:val="21"/>
                <w:szCs w:val="21"/>
                <w:lang w:val="en-US" w:eastAsia="zh-CN"/>
              </w:rPr>
              <w:t>每</w:t>
            </w:r>
            <w:r>
              <w:rPr>
                <w:rFonts w:hint="eastAsia" w:hAnsi="宋体" w:cs="宋体"/>
                <w:b/>
                <w:bCs/>
                <w:color w:val="auto"/>
                <w:kern w:val="0"/>
                <w:sz w:val="21"/>
                <w:szCs w:val="21"/>
                <w:lang w:val="en-US" w:eastAsia="zh-CN"/>
              </w:rPr>
              <w:t>增加</w:t>
            </w:r>
            <w:r>
              <w:rPr>
                <w:rFonts w:hint="eastAsia" w:hAnsi="宋体" w:cs="宋体"/>
                <w:color w:val="auto"/>
                <w:kern w:val="0"/>
                <w:sz w:val="21"/>
                <w:szCs w:val="21"/>
                <w:lang w:val="en-US" w:eastAsia="zh-CN"/>
              </w:rPr>
              <w:t>一名</w:t>
            </w:r>
            <w:r>
              <w:rPr>
                <w:rFonts w:hint="eastAsia" w:ascii="宋体" w:hAnsi="宋体" w:eastAsia="宋体" w:cs="宋体"/>
                <w:color w:val="auto"/>
                <w:kern w:val="0"/>
                <w:sz w:val="21"/>
                <w:szCs w:val="21"/>
                <w:lang w:val="en-US" w:eastAsia="zh-CN"/>
              </w:rPr>
              <w:t>具有本科</w:t>
            </w:r>
            <w:r>
              <w:rPr>
                <w:rFonts w:hint="eastAsia"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或以上</w:t>
            </w:r>
            <w:r>
              <w:rPr>
                <w:rFonts w:hint="eastAsia"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学历的</w:t>
            </w:r>
            <w:r>
              <w:rPr>
                <w:rFonts w:hint="eastAsia" w:hAnsi="宋体" w:cs="宋体"/>
                <w:color w:val="auto"/>
                <w:kern w:val="0"/>
                <w:sz w:val="21"/>
                <w:szCs w:val="21"/>
                <w:lang w:val="en-US" w:eastAsia="zh-CN"/>
              </w:rPr>
              <w:t>得1分</w:t>
            </w:r>
            <w:r>
              <w:rPr>
                <w:rFonts w:hint="eastAsia" w:ascii="宋体" w:hAnsi="宋体" w:eastAsia="宋体" w:cs="宋体"/>
                <w:color w:val="auto"/>
                <w:kern w:val="0"/>
                <w:sz w:val="21"/>
                <w:szCs w:val="21"/>
                <w:lang w:val="en-US" w:eastAsia="zh-CN"/>
              </w:rPr>
              <w:t>，</w:t>
            </w:r>
            <w:r>
              <w:rPr>
                <w:rFonts w:hint="eastAsia" w:hAnsi="宋体" w:cs="宋体"/>
                <w:color w:val="auto"/>
                <w:kern w:val="0"/>
                <w:sz w:val="21"/>
                <w:szCs w:val="21"/>
                <w:lang w:val="en-US" w:eastAsia="zh-CN"/>
              </w:rPr>
              <w:t>本小项最高得10分。</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上述两项累计最高得15分。</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1、</w:t>
            </w:r>
            <w:r>
              <w:rPr>
                <w:rFonts w:hint="eastAsia" w:ascii="宋体" w:hAnsi="宋体" w:cs="宋体"/>
                <w:b/>
                <w:bCs/>
                <w:szCs w:val="21"/>
                <w:lang w:val="en-US" w:eastAsia="zh-CN"/>
              </w:rPr>
              <w:t>自有员工证明：</w:t>
            </w:r>
            <w:r>
              <w:rPr>
                <w:rFonts w:hint="eastAsia" w:ascii="宋体" w:hAnsi="宋体" w:cs="宋体"/>
                <w:szCs w:val="21"/>
              </w:rPr>
              <w:t>提供社保部门出具的投标人为其缴纳的近1个月社保证明文件，由于社保部门原因（提供社保局无法出具的证明文件）最近1个月的社保证明无法提供的，则可以往前顺延一个月；如投标人注册成立时间不足1个月的，可提供承诺函（格式自拟）；未按要求提供的，投入的该人员作不得分处理。</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szCs w:val="21"/>
              </w:rPr>
            </w:pPr>
            <w:r>
              <w:rPr>
                <w:rFonts w:hint="eastAsia" w:ascii="宋体" w:hAnsi="宋体" w:cs="宋体"/>
                <w:b/>
                <w:bCs/>
                <w:szCs w:val="21"/>
              </w:rPr>
              <w:t>2、学历证明</w:t>
            </w:r>
            <w:r>
              <w:rPr>
                <w:rFonts w:hint="eastAsia" w:ascii="宋体" w:hAnsi="宋体" w:cs="宋体"/>
                <w:b/>
                <w:bCs/>
                <w:szCs w:val="21"/>
                <w:lang w:eastAsia="zh-CN"/>
              </w:rPr>
              <w:t>：</w:t>
            </w:r>
            <w:r>
              <w:rPr>
                <w:rFonts w:hint="eastAsia" w:ascii="宋体" w:hAnsi="宋体" w:cs="宋体"/>
                <w:szCs w:val="21"/>
              </w:rPr>
              <w:t>提供学历证书以及学信网（https://www.chsi.com.cn/）验证结果网页截图；对于较早颁发的学历证书，学信网无法查询的，可提供其他佐证材料（如毕业院校、人社部门等颁发机构或监管机构等单位出具的证明）扫描件；若提供的是国（境）外学历证书扫描件（以及中文翻译件），提供教育部留学服务中心出具的国外学历学位认证书；</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default" w:ascii="宋体" w:hAnsi="宋体" w:cs="宋体"/>
                <w:szCs w:val="21"/>
                <w:lang w:val="en-US" w:eastAsia="zh-CN"/>
              </w:rPr>
            </w:pPr>
            <w:r>
              <w:rPr>
                <w:rFonts w:hint="eastAsia" w:ascii="宋体" w:hAnsi="宋体" w:cs="宋体"/>
                <w:b/>
                <w:bCs/>
                <w:szCs w:val="21"/>
                <w:lang w:val="en-US" w:eastAsia="zh-CN"/>
              </w:rPr>
              <w:t>3、证书证明：</w:t>
            </w:r>
            <w:r>
              <w:rPr>
                <w:rFonts w:hint="eastAsia" w:ascii="宋体" w:hAnsi="宋体" w:cs="宋体"/>
                <w:szCs w:val="21"/>
                <w:lang w:val="en-US" w:eastAsia="zh-CN"/>
              </w:rPr>
              <w:t>提供证书材料；</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default"/>
                <w:lang w:val="en-US" w:eastAsia="zh-CN"/>
              </w:rPr>
            </w:pPr>
            <w:r>
              <w:rPr>
                <w:rFonts w:hint="eastAsia" w:ascii="宋体" w:hAnsi="宋体" w:cs="宋体"/>
                <w:szCs w:val="21"/>
                <w:lang w:val="en-US" w:eastAsia="zh-CN"/>
              </w:rPr>
              <w:t>4、上述材料原件备查，如未按要求</w:t>
            </w:r>
            <w:r>
              <w:rPr>
                <w:rFonts w:hint="eastAsia" w:ascii="宋体" w:hAnsi="宋体" w:cs="宋体"/>
                <w:szCs w:val="21"/>
              </w:rPr>
              <w:t>提供证明材料，或所提供的证明材料未能体现上述评分内容导致专家无法判断的不得分。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w:t>
            </w:r>
          </w:p>
        </w:tc>
        <w:tc>
          <w:tcPr>
            <w:tcW w:w="272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综合实力</w:t>
            </w:r>
          </w:p>
        </w:tc>
        <w:tc>
          <w:tcPr>
            <w:tcW w:w="5670"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13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567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eastAsia="宋体" w:cs="宋体"/>
                <w:sz w:val="21"/>
                <w:szCs w:val="21"/>
              </w:rPr>
              <w:t>企业</w:t>
            </w:r>
            <w:r>
              <w:rPr>
                <w:rFonts w:hint="eastAsia" w:ascii="宋体" w:hAnsi="宋体" w:cs="宋体"/>
                <w:sz w:val="21"/>
                <w:szCs w:val="21"/>
                <w:lang w:val="en-US" w:eastAsia="zh-CN"/>
              </w:rPr>
              <w:t>认证情况</w:t>
            </w:r>
          </w:p>
        </w:tc>
        <w:tc>
          <w:tcPr>
            <w:tcW w:w="7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cs="宋体"/>
                <w:sz w:val="21"/>
                <w:szCs w:val="21"/>
                <w:lang w:val="en-US" w:eastAsia="zh-CN"/>
              </w:rPr>
              <w:t>10</w:t>
            </w:r>
          </w:p>
        </w:tc>
        <w:tc>
          <w:tcPr>
            <w:tcW w:w="5670"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sz w:val="21"/>
                <w:szCs w:val="21"/>
                <w:lang w:eastAsia="zh-CN"/>
              </w:rPr>
            </w:pPr>
            <w:r>
              <w:rPr>
                <w:rFonts w:hint="eastAsia" w:ascii="宋体" w:hAnsi="宋体" w:cs="宋体"/>
                <w:b/>
                <w:sz w:val="21"/>
                <w:szCs w:val="21"/>
                <w:lang w:eastAsia="zh-CN"/>
              </w:rPr>
              <w:t>（一）评分内容：</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投标人具有下列证书：</w:t>
            </w:r>
          </w:p>
          <w:p>
            <w:pPr>
              <w:pStyle w:val="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1、质量管理体系认证证书，得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p>
          <w:p>
            <w:pPr>
              <w:pStyle w:val="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2、职业健康安全管理体系认证证书，得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r>
              <w:rPr>
                <w:rFonts w:hint="eastAsia" w:hAnsi="宋体" w:cs="宋体"/>
                <w:color w:val="auto"/>
                <w:kern w:val="0"/>
                <w:sz w:val="21"/>
                <w:szCs w:val="21"/>
                <w:lang w:val="en-US" w:eastAsia="zh-CN"/>
              </w:rPr>
              <w:t>；</w:t>
            </w:r>
          </w:p>
          <w:p>
            <w:pPr>
              <w:pStyle w:val="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3、环境管理体系认证证书，得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r>
              <w:rPr>
                <w:rFonts w:hint="eastAsia" w:hAnsi="宋体" w:cs="宋体"/>
                <w:color w:val="auto"/>
                <w:kern w:val="0"/>
                <w:sz w:val="21"/>
                <w:szCs w:val="21"/>
                <w:lang w:val="en-US" w:eastAsia="zh-CN"/>
              </w:rPr>
              <w:t>；</w:t>
            </w:r>
          </w:p>
          <w:p>
            <w:pPr>
              <w:pStyle w:val="8"/>
              <w:ind w:left="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r>
              <w:rPr>
                <w:rFonts w:hint="eastAsia" w:hAnsi="宋体" w:cs="宋体"/>
                <w:color w:val="000000"/>
                <w:sz w:val="21"/>
                <w:szCs w:val="21"/>
                <w:lang w:val="en-US" w:eastAsia="zh-CN"/>
              </w:rPr>
              <w:t>服务认证</w:t>
            </w:r>
            <w:r>
              <w:rPr>
                <w:rFonts w:hint="eastAsia" w:ascii="宋体" w:hAnsi="宋体" w:eastAsia="宋体" w:cs="宋体"/>
                <w:color w:val="auto"/>
                <w:kern w:val="0"/>
                <w:sz w:val="21"/>
                <w:szCs w:val="21"/>
                <w:lang w:val="en-US" w:eastAsia="zh-CN"/>
              </w:rPr>
              <w:t>证书</w:t>
            </w:r>
            <w:r>
              <w:rPr>
                <w:rFonts w:hint="eastAsia" w:hAnsi="宋体" w:cs="宋体"/>
                <w:color w:val="000000"/>
                <w:sz w:val="21"/>
                <w:szCs w:val="21"/>
                <w:lang w:val="en-US" w:eastAsia="zh-CN"/>
              </w:rPr>
              <w:t>，</w:t>
            </w:r>
            <w:r>
              <w:rPr>
                <w:rFonts w:hint="eastAsia" w:ascii="宋体" w:hAnsi="宋体" w:eastAsia="宋体" w:cs="宋体"/>
                <w:color w:val="auto"/>
                <w:kern w:val="0"/>
                <w:sz w:val="21"/>
                <w:szCs w:val="21"/>
                <w:lang w:val="en-US" w:eastAsia="zh-CN"/>
              </w:rPr>
              <w:t>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r>
              <w:rPr>
                <w:rFonts w:hint="eastAsia" w:ascii="宋体" w:hAnsi="宋体" w:cs="宋体"/>
                <w:color w:val="auto"/>
                <w:kern w:val="0"/>
                <w:sz w:val="21"/>
                <w:szCs w:val="21"/>
                <w:lang w:val="en-US" w:eastAsia="zh-CN"/>
              </w:rPr>
              <w:t>。</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（以上</w:t>
            </w:r>
            <w:r>
              <w:rPr>
                <w:rFonts w:hint="eastAsia" w:ascii="宋体" w:hAnsi="宋体" w:cs="宋体"/>
                <w:color w:val="auto"/>
                <w:kern w:val="0"/>
                <w:sz w:val="21"/>
                <w:szCs w:val="21"/>
                <w:lang w:val="en-US" w:eastAsia="zh-CN"/>
              </w:rPr>
              <w:t>四</w:t>
            </w:r>
            <w:r>
              <w:rPr>
                <w:rFonts w:hint="eastAsia" w:ascii="宋体" w:hAnsi="宋体" w:eastAsia="宋体" w:cs="宋体"/>
                <w:color w:val="auto"/>
                <w:kern w:val="0"/>
                <w:sz w:val="21"/>
                <w:szCs w:val="21"/>
                <w:lang w:val="en-US" w:eastAsia="zh-CN"/>
              </w:rPr>
              <w:t>项认证范围应包括：人力资源服务、人才测评或人才评价）。</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b/>
                <w:color w:val="auto"/>
                <w:sz w:val="21"/>
                <w:szCs w:val="21"/>
                <w:lang w:eastAsia="zh-CN"/>
              </w:rPr>
            </w:pPr>
            <w:r>
              <w:rPr>
                <w:rFonts w:hint="eastAsia" w:ascii="宋体" w:hAnsi="宋体" w:cs="宋体"/>
                <w:b/>
                <w:color w:val="auto"/>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default"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同时提供</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提供有效认证证书（如认证证书注明年审要求的，</w:t>
            </w:r>
            <w:r>
              <w:rPr>
                <w:rFonts w:hint="eastAsia" w:ascii="宋体" w:hAnsi="宋体" w:cs="宋体"/>
                <w:color w:val="auto"/>
                <w:kern w:val="0"/>
                <w:sz w:val="21"/>
                <w:szCs w:val="21"/>
                <w:lang w:val="en-US" w:eastAsia="zh-CN"/>
              </w:rPr>
              <w:t>需</w:t>
            </w:r>
            <w:r>
              <w:rPr>
                <w:rFonts w:hint="eastAsia" w:ascii="宋体" w:hAnsi="宋体" w:eastAsia="宋体" w:cs="宋体"/>
                <w:color w:val="auto"/>
                <w:kern w:val="0"/>
                <w:sz w:val="21"/>
                <w:szCs w:val="21"/>
              </w:rPr>
              <w:t>按规定年审且证书在有效期内的方为有效；如未注明年审要求的，证书必须在有效期内的方为有效）；</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提供证书官网或权威机构【如：全国认证认可信息公共服务平台（cx.cnca.cn）】认证信息查询截图（截图需显示证书状态为有效）。</w:t>
            </w:r>
          </w:p>
          <w:p>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hint="eastAsia" w:ascii="宋体" w:hAnsi="宋体" w:eastAsia="宋体" w:cs="宋体"/>
                <w:szCs w:val="21"/>
                <w:lang w:val="en-US" w:eastAsia="zh-CN"/>
              </w:rPr>
            </w:pPr>
            <w:r>
              <w:rPr>
                <w:rFonts w:hint="eastAsia" w:ascii="宋体" w:hAnsi="宋体" w:eastAsia="宋体" w:cs="宋体"/>
                <w:color w:val="auto"/>
                <w:kern w:val="0"/>
                <w:sz w:val="21"/>
                <w:szCs w:val="21"/>
              </w:rPr>
              <w:t>3</w:t>
            </w:r>
            <w:r>
              <w:rPr>
                <w:rFonts w:hint="eastAsia" w:ascii="宋体" w:hAnsi="宋体" w:cs="宋体"/>
                <w:color w:val="auto"/>
                <w:kern w:val="0"/>
                <w:sz w:val="21"/>
                <w:szCs w:val="21"/>
                <w:lang w:eastAsia="zh-CN"/>
              </w:rPr>
              <w:t>、</w:t>
            </w:r>
            <w:r>
              <w:rPr>
                <w:rFonts w:hint="eastAsia" w:ascii="宋体" w:hAnsi="宋体" w:eastAsia="宋体" w:cs="宋体"/>
                <w:color w:val="auto"/>
                <w:sz w:val="21"/>
                <w:szCs w:val="21"/>
              </w:rPr>
              <w:t>以上证明文件原件备查。未按要求提供有效证明材料或提供不清晰导致评委无法识别的不计得分</w:t>
            </w:r>
            <w:r>
              <w:rPr>
                <w:rFonts w:hint="eastAsia" w:ascii="宋体" w:hAnsi="宋体" w:eastAsia="宋体" w:cs="宋体"/>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eastAsia="宋体" w:cs="宋体"/>
                <w:sz w:val="21"/>
                <w:szCs w:val="21"/>
              </w:rPr>
              <w:t>项目经验</w:t>
            </w:r>
          </w:p>
        </w:tc>
        <w:tc>
          <w:tcPr>
            <w:tcW w:w="7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szCs w:val="21"/>
              </w:rPr>
            </w:pPr>
            <w:r>
              <w:rPr>
                <w:rFonts w:hint="eastAsia" w:ascii="宋体" w:hAnsi="宋体" w:cs="宋体"/>
                <w:sz w:val="21"/>
                <w:szCs w:val="21"/>
                <w:lang w:val="en-US" w:eastAsia="zh-CN"/>
              </w:rPr>
              <w:t>10</w:t>
            </w:r>
          </w:p>
        </w:tc>
        <w:tc>
          <w:tcPr>
            <w:tcW w:w="56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tabs>
                <w:tab w:val="left" w:pos="175"/>
              </w:tabs>
              <w:kinsoku/>
              <w:wordWrap/>
              <w:overflowPunct/>
              <w:topLinePunct w:val="0"/>
              <w:bidi w:val="0"/>
              <w:spacing w:beforeAutospacing="0" w:afterAutospacing="0" w:line="240" w:lineRule="auto"/>
              <w:ind w:left="33"/>
              <w:jc w:val="left"/>
              <w:textAlignment w:val="auto"/>
              <w:rPr>
                <w:rFonts w:hint="eastAsia" w:ascii="宋体" w:hAnsi="宋体" w:eastAsia="宋体" w:cs="宋体"/>
                <w:sz w:val="21"/>
                <w:szCs w:val="21"/>
                <w:lang w:eastAsia="zh-CN"/>
              </w:rPr>
            </w:pPr>
            <w:r>
              <w:rPr>
                <w:rFonts w:hint="eastAsia" w:ascii="宋体" w:hAnsi="宋体" w:cs="宋体"/>
                <w:b/>
                <w:sz w:val="21"/>
                <w:szCs w:val="21"/>
                <w:lang w:eastAsia="zh-CN"/>
              </w:rPr>
              <w:t>（一）评分内容：</w:t>
            </w:r>
          </w:p>
          <w:p>
            <w:pPr>
              <w:keepNext w:val="0"/>
              <w:keepLines w:val="0"/>
              <w:pageBreakBefore w:val="0"/>
              <w:tabs>
                <w:tab w:val="left" w:pos="175"/>
              </w:tabs>
              <w:kinsoku/>
              <w:wordWrap/>
              <w:overflowPunct/>
              <w:topLinePunct w:val="0"/>
              <w:bidi w:val="0"/>
              <w:spacing w:beforeAutospacing="0" w:afterAutospacing="0" w:line="24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投标供应商</w:t>
            </w:r>
            <w:r>
              <w:rPr>
                <w:rFonts w:hint="eastAsia" w:ascii="宋体" w:hAnsi="宋体" w:eastAsia="宋体" w:cs="宋体"/>
                <w:sz w:val="21"/>
                <w:szCs w:val="21"/>
                <w:lang w:val="en-US" w:eastAsia="zh-CN"/>
              </w:rPr>
              <w:t>自</w:t>
            </w:r>
            <w:r>
              <w:rPr>
                <w:rFonts w:hint="eastAsia" w:ascii="宋体" w:hAnsi="宋体" w:eastAsia="宋体" w:cs="宋体"/>
                <w:b w:val="0"/>
                <w:bCs/>
                <w:color w:val="auto"/>
                <w:sz w:val="21"/>
                <w:szCs w:val="21"/>
                <w:highlight w:val="none"/>
              </w:rPr>
              <w:t>202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月1日</w:t>
            </w:r>
            <w:r>
              <w:rPr>
                <w:rFonts w:hint="eastAsia" w:ascii="宋体" w:hAnsi="宋体" w:cs="宋体"/>
                <w:b w:val="0"/>
                <w:bCs/>
                <w:color w:val="auto"/>
                <w:sz w:val="21"/>
                <w:szCs w:val="21"/>
                <w:highlight w:val="none"/>
                <w:lang w:val="en-US" w:eastAsia="zh-CN"/>
              </w:rPr>
              <w:t>至投标截止日（以合同签订时间为准），</w:t>
            </w:r>
            <w:r>
              <w:rPr>
                <w:rFonts w:hint="eastAsia" w:ascii="宋体" w:hAnsi="宋体" w:eastAsia="宋体" w:cs="宋体"/>
                <w:b w:val="0"/>
                <w:bCs/>
                <w:color w:val="auto"/>
                <w:sz w:val="21"/>
                <w:szCs w:val="21"/>
                <w:highlight w:val="none"/>
              </w:rPr>
              <w:t>完成</w:t>
            </w:r>
            <w:r>
              <w:rPr>
                <w:rFonts w:hint="eastAsia" w:ascii="宋体" w:hAnsi="宋体" w:cs="宋体"/>
                <w:b w:val="0"/>
                <w:bCs/>
                <w:color w:val="auto"/>
                <w:sz w:val="21"/>
                <w:szCs w:val="21"/>
                <w:highlight w:val="none"/>
                <w:lang w:val="en-US" w:eastAsia="zh-CN"/>
              </w:rPr>
              <w:t>政府机关或事业单位委托</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val="en-US" w:eastAsia="zh-CN"/>
              </w:rPr>
              <w:t>人事招聘</w:t>
            </w:r>
            <w:r>
              <w:rPr>
                <w:rFonts w:hint="eastAsia" w:ascii="宋体" w:hAnsi="宋体" w:cs="宋体"/>
                <w:b w:val="0"/>
                <w:bCs/>
                <w:color w:val="auto"/>
                <w:sz w:val="21"/>
                <w:szCs w:val="21"/>
                <w:highlight w:val="none"/>
                <w:lang w:val="en-US" w:eastAsia="zh-CN"/>
              </w:rPr>
              <w:t>类</w:t>
            </w:r>
            <w:r>
              <w:rPr>
                <w:rFonts w:hint="eastAsia" w:ascii="宋体" w:hAnsi="宋体" w:eastAsia="宋体" w:cs="宋体"/>
                <w:b w:val="0"/>
                <w:bCs/>
                <w:color w:val="auto"/>
                <w:sz w:val="21"/>
                <w:szCs w:val="21"/>
                <w:highlight w:val="none"/>
              </w:rPr>
              <w:t>项目业绩</w:t>
            </w:r>
            <w:r>
              <w:rPr>
                <w:rFonts w:hint="eastAsia" w:ascii="宋体" w:hAnsi="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，每提供1个得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val="en-US" w:eastAsia="zh-CN"/>
              </w:rPr>
              <w:t>累计</w:t>
            </w:r>
            <w:r>
              <w:rPr>
                <w:rFonts w:hint="eastAsia" w:ascii="宋体" w:hAnsi="宋体" w:eastAsia="宋体" w:cs="宋体"/>
                <w:b w:val="0"/>
                <w:bCs/>
                <w:color w:val="auto"/>
                <w:sz w:val="21"/>
                <w:szCs w:val="21"/>
                <w:highlight w:val="none"/>
              </w:rPr>
              <w:t>最高得</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分。长期续签合同只计算一个业绩</w:t>
            </w:r>
            <w:r>
              <w:rPr>
                <w:rFonts w:hint="eastAsia" w:ascii="宋体" w:hAnsi="宋体" w:cs="宋体"/>
                <w:b w:val="0"/>
                <w:bCs/>
                <w:color w:val="auto"/>
                <w:sz w:val="21"/>
                <w:szCs w:val="21"/>
                <w:highlight w:val="none"/>
                <w:lang w:eastAsia="zh-CN"/>
              </w:rPr>
              <w:t>。</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sz w:val="21"/>
                <w:szCs w:val="21"/>
                <w:lang w:eastAsia="zh-CN"/>
              </w:rPr>
            </w:pPr>
            <w:r>
              <w:rPr>
                <w:rFonts w:hint="eastAsia" w:ascii="宋体" w:hAnsi="宋体" w:cs="宋体"/>
                <w:b/>
                <w:sz w:val="21"/>
                <w:szCs w:val="21"/>
                <w:lang w:eastAsia="zh-CN"/>
              </w:rPr>
              <w:t>（二）评分依据：</w:t>
            </w:r>
          </w:p>
          <w:p>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hint="eastAsia" w:ascii="宋体" w:hAnsi="宋体" w:eastAsia="宋体" w:cs="宋体"/>
                <w:sz w:val="21"/>
                <w:szCs w:val="21"/>
              </w:rPr>
            </w:pPr>
            <w:r>
              <w:rPr>
                <w:rFonts w:hint="eastAsia" w:ascii="宋体" w:hAnsi="宋体" w:eastAsia="宋体" w:cs="宋体"/>
                <w:sz w:val="21"/>
                <w:szCs w:val="21"/>
              </w:rPr>
              <w:t>1、合同关键页（关键信息包括但不限于合同的项目名称、服务内容、合同服务的起止时间、签订日期、合同双方盖章页等）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支付发票</w:t>
            </w:r>
            <w:r>
              <w:rPr>
                <w:rFonts w:hint="eastAsia" w:ascii="宋体" w:hAnsi="宋体" w:eastAsia="宋体" w:cs="宋体"/>
                <w:sz w:val="21"/>
                <w:szCs w:val="21"/>
              </w:rPr>
              <w:t>；</w:t>
            </w:r>
          </w:p>
          <w:p>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ascii="宋体" w:hAnsi="宋体" w:cs="宋体"/>
                <w:szCs w:val="21"/>
              </w:rPr>
            </w:pPr>
            <w:r>
              <w:rPr>
                <w:rFonts w:hint="eastAsia" w:ascii="宋体" w:hAnsi="宋体" w:eastAsia="宋体" w:cs="宋体"/>
                <w:sz w:val="21"/>
                <w:szCs w:val="21"/>
              </w:rPr>
              <w:t>2、以上材料原件备查。如提供的材料无法证明隶属于投标人或无法辨别的，则认定为无效材料，不得分。</w:t>
            </w:r>
          </w:p>
        </w:tc>
      </w:tr>
    </w:tbl>
    <w:p>
      <w:pPr>
        <w:pStyle w:val="6"/>
        <w:ind w:left="0" w:leftChars="0" w:firstLine="0" w:firstLineChars="0"/>
        <w:rPr>
          <w:rFonts w:hint="default"/>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34AB84-52A2-45D4-8DB4-E724F2D9D5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4C69E7B8-C4B1-45B9-BA72-3382417E4596}"/>
  </w:font>
  <w:font w:name="仿宋_GB2312">
    <w:panose1 w:val="02010609030101010101"/>
    <w:charset w:val="86"/>
    <w:family w:val="auto"/>
    <w:pitch w:val="default"/>
    <w:sig w:usb0="00000001" w:usb1="080E0000" w:usb2="00000000" w:usb3="00000000" w:csb0="00040000" w:csb1="00000000"/>
    <w:embedRegular r:id="rId3" w:fontKey="{7C75A919-01FB-4FDF-B8EC-6F3457C9BA69}"/>
  </w:font>
  <w:font w:name="仿宋">
    <w:panose1 w:val="02010609060101010101"/>
    <w:charset w:val="86"/>
    <w:family w:val="auto"/>
    <w:pitch w:val="default"/>
    <w:sig w:usb0="800002BF" w:usb1="38CF7CFA" w:usb2="00000016" w:usb3="00000000" w:csb0="00040001" w:csb1="00000000"/>
    <w:embedRegular r:id="rId4" w:fontKey="{0B3749DD-F74C-441B-9554-A877B3999535}"/>
  </w:font>
  <w:font w:name="华文仿宋">
    <w:panose1 w:val="02010600040101010101"/>
    <w:charset w:val="86"/>
    <w:family w:val="auto"/>
    <w:pitch w:val="default"/>
    <w:sig w:usb0="00000287" w:usb1="080F0000" w:usb2="00000000" w:usb3="00000000" w:csb0="0004009F" w:csb1="DFD70000"/>
    <w:embedRegular r:id="rId5" w:fontKey="{89EAFEA9-ADE6-4D3A-B992-FB9E587424B4}"/>
  </w:font>
  <w:font w:name="楷体_GB2312">
    <w:panose1 w:val="02010609030101010101"/>
    <w:charset w:val="86"/>
    <w:family w:val="auto"/>
    <w:pitch w:val="default"/>
    <w:sig w:usb0="00000001" w:usb1="080E0000" w:usb2="00000000" w:usb3="00000000" w:csb0="00040000" w:csb1="00000000"/>
    <w:embedRegular r:id="rId6" w:fontKey="{E86D3582-2A22-48B8-B771-159D996504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1571E"/>
    <w:multiLevelType w:val="singleLevel"/>
    <w:tmpl w:val="85B1571E"/>
    <w:lvl w:ilvl="0" w:tentative="0">
      <w:start w:val="1"/>
      <w:numFmt w:val="chineseCounting"/>
      <w:suff w:val="nothing"/>
      <w:lvlText w:val="（%1）"/>
      <w:lvlJc w:val="left"/>
      <w:rPr>
        <w:rFonts w:hint="eastAsia"/>
      </w:rPr>
    </w:lvl>
  </w:abstractNum>
  <w:abstractNum w:abstractNumId="1">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2">
    <w:nsid w:val="AC2BB7F1"/>
    <w:multiLevelType w:val="singleLevel"/>
    <w:tmpl w:val="AC2BB7F1"/>
    <w:lvl w:ilvl="0" w:tentative="0">
      <w:start w:val="3"/>
      <w:numFmt w:val="decimal"/>
      <w:suff w:val="nothing"/>
      <w:lvlText w:val="（%1）"/>
      <w:lvlJc w:val="left"/>
    </w:lvl>
  </w:abstractNum>
  <w:abstractNum w:abstractNumId="3">
    <w:nsid w:val="30A97EF4"/>
    <w:multiLevelType w:val="singleLevel"/>
    <w:tmpl w:val="30A97EF4"/>
    <w:lvl w:ilvl="0" w:tentative="0">
      <w:start w:val="1"/>
      <w:numFmt w:val="decimal"/>
      <w:suff w:val="nothing"/>
      <w:lvlText w:val="%1、"/>
      <w:lvlJc w:val="left"/>
    </w:lvl>
  </w:abstractNum>
  <w:abstractNum w:abstractNumId="4">
    <w:nsid w:val="46FBAFE0"/>
    <w:multiLevelType w:val="singleLevel"/>
    <w:tmpl w:val="46FBAFE0"/>
    <w:lvl w:ilvl="0" w:tentative="0">
      <w:start w:val="1"/>
      <w:numFmt w:val="decimal"/>
      <w:suff w:val="nothing"/>
      <w:lvlText w:val="%1、"/>
      <w:lvlJc w:val="left"/>
    </w:lvl>
  </w:abstractNum>
  <w:abstractNum w:abstractNumId="5">
    <w:nsid w:val="5A6A5201"/>
    <w:multiLevelType w:val="singleLevel"/>
    <w:tmpl w:val="5A6A5201"/>
    <w:lvl w:ilvl="0" w:tentative="0">
      <w:start w:val="1"/>
      <w:numFmt w:val="decimal"/>
      <w:suff w:val="noth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36D1000"/>
    <w:rsid w:val="042C28C0"/>
    <w:rsid w:val="05140C1A"/>
    <w:rsid w:val="052C48C4"/>
    <w:rsid w:val="060C490A"/>
    <w:rsid w:val="065B5A88"/>
    <w:rsid w:val="06C40736"/>
    <w:rsid w:val="06F23CF7"/>
    <w:rsid w:val="08050524"/>
    <w:rsid w:val="0CB462EB"/>
    <w:rsid w:val="0F3D1663"/>
    <w:rsid w:val="10636C3B"/>
    <w:rsid w:val="11955A3F"/>
    <w:rsid w:val="13600912"/>
    <w:rsid w:val="15815AD7"/>
    <w:rsid w:val="163C4F8E"/>
    <w:rsid w:val="16ED6288"/>
    <w:rsid w:val="17A6602C"/>
    <w:rsid w:val="17CA760B"/>
    <w:rsid w:val="19BB4A45"/>
    <w:rsid w:val="1A427337"/>
    <w:rsid w:val="1A4D304A"/>
    <w:rsid w:val="1B71796D"/>
    <w:rsid w:val="1C41419F"/>
    <w:rsid w:val="1E2D5254"/>
    <w:rsid w:val="1E820E05"/>
    <w:rsid w:val="1FD20FE9"/>
    <w:rsid w:val="28DE6BB5"/>
    <w:rsid w:val="29F924A3"/>
    <w:rsid w:val="2AE1684B"/>
    <w:rsid w:val="2BE47E69"/>
    <w:rsid w:val="2C9D3A89"/>
    <w:rsid w:val="2D453739"/>
    <w:rsid w:val="2DC75B04"/>
    <w:rsid w:val="2E6C7C0B"/>
    <w:rsid w:val="30B71ED4"/>
    <w:rsid w:val="311B27B2"/>
    <w:rsid w:val="31B5447C"/>
    <w:rsid w:val="326C418B"/>
    <w:rsid w:val="34877E03"/>
    <w:rsid w:val="354803C8"/>
    <w:rsid w:val="35D24DFD"/>
    <w:rsid w:val="3604028D"/>
    <w:rsid w:val="39C34D75"/>
    <w:rsid w:val="3AC557D1"/>
    <w:rsid w:val="3CE84C78"/>
    <w:rsid w:val="3D105B4E"/>
    <w:rsid w:val="3D182F82"/>
    <w:rsid w:val="3E9E4502"/>
    <w:rsid w:val="3EEC4865"/>
    <w:rsid w:val="3F6C2DF4"/>
    <w:rsid w:val="3F9E48B5"/>
    <w:rsid w:val="424714E0"/>
    <w:rsid w:val="43773411"/>
    <w:rsid w:val="441910DB"/>
    <w:rsid w:val="444D17C3"/>
    <w:rsid w:val="45C81AEB"/>
    <w:rsid w:val="46DE34D4"/>
    <w:rsid w:val="471374A2"/>
    <w:rsid w:val="475A0884"/>
    <w:rsid w:val="476A10AC"/>
    <w:rsid w:val="47AC3472"/>
    <w:rsid w:val="491D214E"/>
    <w:rsid w:val="4A27193A"/>
    <w:rsid w:val="4A2B5B43"/>
    <w:rsid w:val="4BE6200A"/>
    <w:rsid w:val="4E3B7C91"/>
    <w:rsid w:val="4E8972EB"/>
    <w:rsid w:val="50322813"/>
    <w:rsid w:val="51215764"/>
    <w:rsid w:val="5154562A"/>
    <w:rsid w:val="51FD2B1C"/>
    <w:rsid w:val="5268443A"/>
    <w:rsid w:val="52AD576E"/>
    <w:rsid w:val="532728C5"/>
    <w:rsid w:val="53C910FB"/>
    <w:rsid w:val="545A0359"/>
    <w:rsid w:val="56A33BA0"/>
    <w:rsid w:val="57AE5420"/>
    <w:rsid w:val="5809221B"/>
    <w:rsid w:val="59BD6FD0"/>
    <w:rsid w:val="5A041D8D"/>
    <w:rsid w:val="5A6A2DAE"/>
    <w:rsid w:val="5AC97A40"/>
    <w:rsid w:val="5B9E2C7A"/>
    <w:rsid w:val="5CEA0D63"/>
    <w:rsid w:val="5F5076E6"/>
    <w:rsid w:val="61823F79"/>
    <w:rsid w:val="61F432D4"/>
    <w:rsid w:val="62E24294"/>
    <w:rsid w:val="63172842"/>
    <w:rsid w:val="63EF5599"/>
    <w:rsid w:val="64B30C27"/>
    <w:rsid w:val="655125D3"/>
    <w:rsid w:val="65536795"/>
    <w:rsid w:val="656B0071"/>
    <w:rsid w:val="65AB7365"/>
    <w:rsid w:val="67B460C1"/>
    <w:rsid w:val="6AC737B4"/>
    <w:rsid w:val="6D537B3F"/>
    <w:rsid w:val="6E4262AC"/>
    <w:rsid w:val="6F2B2E7D"/>
    <w:rsid w:val="70A96F86"/>
    <w:rsid w:val="71264BC1"/>
    <w:rsid w:val="72321F03"/>
    <w:rsid w:val="72820B90"/>
    <w:rsid w:val="73D95F4D"/>
    <w:rsid w:val="747861FC"/>
    <w:rsid w:val="74BA1537"/>
    <w:rsid w:val="76907D77"/>
    <w:rsid w:val="76DB7075"/>
    <w:rsid w:val="7EF7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5"/>
    <w:next w:val="1"/>
    <w:unhideWhenUsed/>
    <w:qFormat/>
    <w:uiPriority w:val="0"/>
    <w:pPr>
      <w:spacing w:before="260" w:after="260" w:line="240" w:lineRule="auto"/>
      <w:outlineLvl w:val="2"/>
    </w:pPr>
    <w:rPr>
      <w:rFonts w:ascii="宋体" w:hAnsi="宋体" w:eastAsia="宋体" w:cs="Times New Roman"/>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2"/>
    <w:qFormat/>
    <w:uiPriority w:val="99"/>
    <w:pPr>
      <w:ind w:firstLine="420" w:firstLineChars="200"/>
    </w:pPr>
  </w:style>
  <w:style w:type="paragraph" w:styleId="7">
    <w:name w:val="annotation text"/>
    <w:basedOn w:val="1"/>
    <w:next w:val="8"/>
    <w:qFormat/>
    <w:uiPriority w:val="99"/>
    <w:pPr>
      <w:autoSpaceDE w:val="0"/>
      <w:autoSpaceDN w:val="0"/>
      <w:adjustRightInd w:val="0"/>
      <w:jc w:val="left"/>
      <w:textAlignment w:val="baseline"/>
    </w:pPr>
    <w:rPr>
      <w:rFonts w:ascii="宋体"/>
      <w:kern w:val="0"/>
      <w:sz w:val="34"/>
      <w:szCs w:val="20"/>
    </w:rPr>
  </w:style>
  <w:style w:type="paragraph" w:styleId="8">
    <w:name w:val="toc 5"/>
    <w:basedOn w:val="1"/>
    <w:next w:val="1"/>
    <w:semiHidden/>
    <w:qFormat/>
    <w:uiPriority w:val="0"/>
    <w:pPr>
      <w:ind w:left="840"/>
      <w:jc w:val="left"/>
    </w:pPr>
    <w:rPr>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1802</Words>
  <Characters>1834</Characters>
  <Lines>0</Lines>
  <Paragraphs>0</Paragraphs>
  <TotalTime>1</TotalTime>
  <ScaleCrop>false</ScaleCrop>
  <LinksUpToDate>false</LinksUpToDate>
  <CharactersWithSpaces>1837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区教育局</cp:lastModifiedBy>
  <cp:lastPrinted>2025-02-08T06:35:00Z</cp:lastPrinted>
  <dcterms:modified xsi:type="dcterms:W3CDTF">2025-02-18T09:16:10Z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921B880A3E3D421BB064DDBAE6855C9D</vt:lpwstr>
  </property>
  <property fmtid="{D5CDD505-2E9C-101B-9397-08002B2CF9AE}" pid="4" name="KSOTemplateDocerSaveRecord">
    <vt:lpwstr>eyJoZGlkIjoiZGU1NWIxNjRhYzA4ODE5ZmRiY2M4YzM4ODc0Nzk5NDciLCJ1c2VySWQiOiIzMTg4MTc5MjAifQ==</vt:lpwstr>
  </property>
</Properties>
</file>