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83A782">
      <w:pPr>
        <w:pStyle w:val="2"/>
        <w:spacing w:line="240" w:lineRule="auto"/>
        <w:jc w:val="left"/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  <w:t>附件二</w:t>
      </w:r>
    </w:p>
    <w:p w14:paraId="7EC856CA">
      <w:pPr>
        <w:spacing w:line="360" w:lineRule="auto"/>
        <w:rPr>
          <w:rFonts w:ascii="微软雅黑" w:hAnsi="微软雅黑" w:eastAsia="微软雅黑"/>
          <w:b/>
          <w:bCs/>
          <w:sz w:val="20"/>
          <w:szCs w:val="20"/>
        </w:rPr>
      </w:pPr>
    </w:p>
    <w:p w14:paraId="5C24B417">
      <w:pPr>
        <w:spacing w:line="360" w:lineRule="auto"/>
        <w:jc w:val="center"/>
        <w:rPr>
          <w:rFonts w:ascii="微软雅黑" w:hAnsi="微软雅黑" w:eastAsia="微软雅黑"/>
          <w:b/>
          <w:bCs/>
          <w:sz w:val="20"/>
          <w:szCs w:val="20"/>
        </w:rPr>
      </w:pPr>
    </w:p>
    <w:p w14:paraId="1180C3F2">
      <w:pPr>
        <w:spacing w:line="360" w:lineRule="auto"/>
        <w:rPr>
          <w:rFonts w:ascii="微软雅黑" w:hAnsi="微软雅黑" w:eastAsia="微软雅黑"/>
          <w:b/>
          <w:bCs/>
          <w:sz w:val="40"/>
          <w:szCs w:val="20"/>
        </w:rPr>
      </w:pPr>
    </w:p>
    <w:p w14:paraId="2E534FF3">
      <w:pPr>
        <w:spacing w:line="360" w:lineRule="auto"/>
        <w:jc w:val="center"/>
        <w:rPr>
          <w:rFonts w:ascii="微软雅黑" w:hAnsi="微软雅黑" w:eastAsia="微软雅黑"/>
          <w:b/>
          <w:bCs/>
          <w:sz w:val="40"/>
          <w:szCs w:val="20"/>
        </w:rPr>
      </w:pPr>
      <w:r>
        <w:rPr>
          <w:rFonts w:hint="eastAsia" w:ascii="微软雅黑" w:hAnsi="微软雅黑" w:eastAsia="微软雅黑"/>
          <w:b/>
          <w:bCs/>
          <w:sz w:val="40"/>
          <w:szCs w:val="20"/>
        </w:rPr>
        <w:t>设计任务书</w:t>
      </w:r>
    </w:p>
    <w:p w14:paraId="021DB68F">
      <w:pPr>
        <w:widowControl/>
        <w:spacing w:line="360" w:lineRule="auto"/>
        <w:jc w:val="center"/>
        <w:rPr>
          <w:rFonts w:ascii="微软雅黑" w:hAnsi="微软雅黑" w:eastAsia="微软雅黑"/>
          <w:b/>
          <w:bCs/>
          <w:sz w:val="20"/>
          <w:szCs w:val="20"/>
        </w:rPr>
      </w:pPr>
      <w:r>
        <w:rPr>
          <w:rFonts w:ascii="微软雅黑" w:hAnsi="微软雅黑" w:eastAsia="微软雅黑"/>
          <w:b/>
          <w:bCs/>
          <w:sz w:val="20"/>
          <w:szCs w:val="20"/>
        </w:rPr>
        <w:br w:type="page"/>
      </w:r>
    </w:p>
    <w:p w14:paraId="7AC18675">
      <w:pPr>
        <w:numPr>
          <w:ilvl w:val="0"/>
          <w:numId w:val="1"/>
        </w:numPr>
        <w:spacing w:line="360" w:lineRule="auto"/>
        <w:jc w:val="left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项目概况</w:t>
      </w:r>
    </w:p>
    <w:p w14:paraId="6B35D84B">
      <w:pPr>
        <w:pStyle w:val="6"/>
        <w:adjustRightInd w:val="0"/>
        <w:snapToGrid w:val="0"/>
        <w:spacing w:line="360" w:lineRule="auto"/>
        <w:ind w:firstLine="48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项目位于广东省深圳市龙岗区平湖街道，南靠沈海高速、西临清平高速、北至富安大道、东接平吉大道，基地范围内有多个高快速路出口，交通便利。项目总占地面积约</w:t>
      </w:r>
      <w:r>
        <w:rPr>
          <w:rFonts w:ascii="微软雅黑" w:hAnsi="微软雅黑" w:eastAsia="微软雅黑"/>
          <w:sz w:val="24"/>
        </w:rPr>
        <w:t>415</w:t>
      </w:r>
      <w:r>
        <w:rPr>
          <w:rFonts w:hint="eastAsia" w:ascii="微软雅黑" w:hAnsi="微软雅黑" w:eastAsia="微软雅黑"/>
          <w:sz w:val="24"/>
        </w:rPr>
        <w:t>亩（如图），拟建设生产厂房、食堂及生产配套设施</w:t>
      </w:r>
      <w:r>
        <w:rPr>
          <w:rFonts w:hint="eastAsia" w:ascii="微软雅黑" w:hAnsi="微软雅黑" w:eastAsia="微软雅黑"/>
          <w:sz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lang w:val="en-US" w:eastAsia="zh-CN"/>
        </w:rPr>
        <w:t>总建筑面积约55万平方米</w:t>
      </w:r>
      <w:r>
        <w:rPr>
          <w:rFonts w:hint="eastAsia" w:ascii="微软雅黑" w:hAnsi="微软雅黑" w:eastAsia="微软雅黑"/>
          <w:sz w:val="24"/>
        </w:rPr>
        <w:t>。</w:t>
      </w:r>
    </w:p>
    <w:p w14:paraId="4523A6D2">
      <w:pPr>
        <w:pStyle w:val="6"/>
        <w:adjustRightInd w:val="0"/>
        <w:snapToGrid w:val="0"/>
        <w:spacing w:line="360" w:lineRule="auto"/>
        <w:ind w:firstLine="0" w:firstLineChars="0"/>
        <w:jc w:val="left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114300" distR="114300">
            <wp:extent cx="5406390" cy="3639820"/>
            <wp:effectExtent l="0" t="0" r="381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Rot="1" noChangeAspect="1"/>
                    </pic:cNvPicPr>
                  </pic:nvPicPr>
                  <pic:blipFill>
                    <a:blip r:embed="rId5"/>
                    <a:srcRect r="15486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EF9C8">
      <w:pPr>
        <w:numPr>
          <w:ilvl w:val="0"/>
          <w:numId w:val="1"/>
        </w:numPr>
        <w:adjustRightInd w:val="0"/>
        <w:spacing w:line="360" w:lineRule="auto"/>
        <w:jc w:val="left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设计内容</w:t>
      </w:r>
    </w:p>
    <w:p w14:paraId="1A470047">
      <w:pPr>
        <w:pStyle w:val="6"/>
        <w:shd w:val="clear" w:color="auto" w:fill="FFFFFF"/>
        <w:adjustRightInd w:val="0"/>
        <w:spacing w:line="360" w:lineRule="auto"/>
        <w:ind w:firstLine="480"/>
        <w:jc w:val="left"/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</w:pPr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地块周边生态资源丰富</w:t>
      </w:r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、</w:t>
      </w:r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交通便利，</w:t>
      </w:r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因此需在本</w:t>
      </w:r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项目</w:t>
      </w:r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的</w:t>
      </w:r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概念规划设计中</w:t>
      </w:r>
      <w:r>
        <w:rPr>
          <w:rFonts w:hint="eastAsia" w:ascii="微软雅黑" w:hAnsi="微软雅黑" w:eastAsia="微软雅黑" w:cs="Helvetica"/>
          <w:color w:val="333333"/>
          <w:sz w:val="24"/>
          <w:szCs w:val="24"/>
          <w:shd w:val="clear" w:color="auto" w:fill="FFFFFF"/>
        </w:rPr>
        <w:t>关注产业空间与周边区域的功能、生态、交通等方面的协调和对接。设计范围内容整体满足后续控规管理要求，并对规划设计条件进行研究，具体内容包括产业、功能、空间、交通、市政、公服、生态等多个方面</w:t>
      </w:r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，</w:t>
      </w:r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对</w:t>
      </w:r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功能布局、</w:t>
      </w:r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道路</w:t>
      </w:r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分布、</w:t>
      </w:r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建筑</w:t>
      </w:r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空间组合</w:t>
      </w:r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和风格进行统一设计，打造高效、生态、人性化的现代化产业园区。</w:t>
      </w:r>
    </w:p>
    <w:p w14:paraId="38482005">
      <w:pPr>
        <w:numPr>
          <w:ilvl w:val="0"/>
          <w:numId w:val="1"/>
        </w:numPr>
        <w:adjustRightInd w:val="0"/>
        <w:spacing w:line="360" w:lineRule="auto"/>
        <w:jc w:val="left"/>
        <w:rPr>
          <w:rFonts w:ascii="微软雅黑" w:hAnsi="微软雅黑" w:eastAsia="微软雅黑"/>
          <w:b/>
          <w:sz w:val="30"/>
          <w:szCs w:val="30"/>
        </w:rPr>
      </w:pPr>
      <w:r>
        <w:rPr>
          <w:rFonts w:ascii="微软雅黑" w:hAnsi="微软雅黑" w:eastAsia="微软雅黑"/>
          <w:b/>
          <w:sz w:val="30"/>
          <w:szCs w:val="30"/>
        </w:rPr>
        <w:t>设计原则及要求</w:t>
      </w:r>
    </w:p>
    <w:p w14:paraId="1AB8DF4E">
      <w:pPr>
        <w:numPr>
          <w:ilvl w:val="0"/>
          <w:numId w:val="2"/>
        </w:numPr>
        <w:adjustRightInd w:val="0"/>
        <w:spacing w:line="360" w:lineRule="auto"/>
        <w:ind w:left="363" w:hanging="258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美的原则：</w:t>
      </w:r>
      <w:r>
        <w:rPr>
          <w:rFonts w:hint="eastAsia" w:ascii="微软雅黑" w:hAnsi="微软雅黑" w:eastAsia="微软雅黑"/>
          <w:sz w:val="24"/>
        </w:rPr>
        <w:t>设计以美为原则，力求体现出建筑的雅致与大气的格调，不片面追求建筑夸张和新奇的表现。</w:t>
      </w:r>
    </w:p>
    <w:p w14:paraId="330C3943">
      <w:pPr>
        <w:widowControl w:val="0"/>
        <w:numPr>
          <w:ilvl w:val="0"/>
          <w:numId w:val="2"/>
        </w:numPr>
        <w:shd w:val="clear" w:color="auto" w:fill="auto"/>
        <w:adjustRightInd w:val="0"/>
        <w:spacing w:line="360" w:lineRule="auto"/>
        <w:ind w:left="363" w:hanging="258"/>
        <w:jc w:val="both"/>
        <w:rPr>
          <w:rFonts w:ascii="微软雅黑" w:hAnsi="微软雅黑" w:eastAsia="微软雅黑" w:cs="Times New Roman"/>
          <w:color w:val="auto"/>
          <w:kern w:val="2"/>
          <w:sz w:val="24"/>
        </w:rPr>
      </w:pPr>
      <w:r>
        <w:rPr>
          <w:rFonts w:ascii="微软雅黑" w:hAnsi="微软雅黑" w:eastAsia="微软雅黑" w:cs="Times New Roman"/>
          <w:b/>
          <w:bCs w:val="0"/>
          <w:color w:val="auto"/>
          <w:kern w:val="2"/>
          <w:sz w:val="24"/>
        </w:rPr>
        <w:t>功能融合</w:t>
      </w:r>
      <w:r>
        <w:rPr>
          <w:rFonts w:ascii="Arial" w:hAnsi="Arial" w:eastAsia="微软雅黑" w:cs="Arial"/>
          <w:b/>
          <w:color w:val="auto"/>
          <w:kern w:val="2"/>
          <w:sz w:val="24"/>
        </w:rPr>
        <w:t>‌</w:t>
      </w:r>
      <w:r>
        <w:rPr>
          <w:rFonts w:ascii="微软雅黑" w:hAnsi="微软雅黑" w:eastAsia="微软雅黑" w:cs="Times New Roman"/>
          <w:b/>
          <w:color w:val="auto"/>
          <w:kern w:val="2"/>
          <w:sz w:val="24"/>
        </w:rPr>
        <w:t>：</w:t>
      </w:r>
      <w:r>
        <w:rPr>
          <w:rFonts w:ascii="微软雅黑" w:hAnsi="微软雅黑" w:eastAsia="微软雅黑" w:cs="Times New Roman"/>
          <w:color w:val="auto"/>
          <w:kern w:val="2"/>
          <w:sz w:val="24"/>
        </w:rPr>
        <w:t>统筹生产、生活、配套功能，合理布局各功能分区，确保动线流畅、空间高效。</w:t>
      </w:r>
    </w:p>
    <w:p w14:paraId="2A9674F8">
      <w:pPr>
        <w:widowControl/>
        <w:numPr>
          <w:ilvl w:val="0"/>
          <w:numId w:val="2"/>
        </w:numPr>
        <w:shd w:val="clear" w:color="auto" w:fill="FFFFFF"/>
        <w:adjustRightInd/>
        <w:spacing w:line="420" w:lineRule="atLeast"/>
        <w:ind w:left="363" w:hanging="258"/>
        <w:jc w:val="left"/>
        <w:rPr>
          <w:rFonts w:hint="eastAsia" w:ascii="微软雅黑" w:hAnsi="微软雅黑" w:eastAsia="微软雅黑"/>
          <w:sz w:val="24"/>
        </w:rPr>
      </w:pPr>
      <w:r>
        <w:rPr>
          <w:rFonts w:ascii="Arial" w:hAnsi="Arial" w:cs="Arial"/>
          <w:color w:val="333333"/>
          <w:kern w:val="0"/>
          <w:sz w:val="24"/>
        </w:rPr>
        <w:t>‌</w:t>
      </w:r>
      <w:r>
        <w:rPr>
          <w:rFonts w:ascii="微软雅黑" w:hAnsi="微软雅黑" w:eastAsia="微软雅黑" w:cs="Times New Roman"/>
          <w:b/>
          <w:bCs w:val="0"/>
          <w:color w:val="auto"/>
          <w:kern w:val="2"/>
          <w:sz w:val="24"/>
        </w:rPr>
        <w:t>生态优先</w:t>
      </w:r>
      <w:r>
        <w:rPr>
          <w:rFonts w:ascii="Arial" w:hAnsi="Arial" w:eastAsia="微软雅黑" w:cs="Arial"/>
          <w:b/>
          <w:color w:val="auto"/>
          <w:kern w:val="2"/>
          <w:sz w:val="24"/>
        </w:rPr>
        <w:t>‌</w:t>
      </w:r>
      <w:r>
        <w:rPr>
          <w:rFonts w:ascii="微软雅黑" w:hAnsi="微软雅黑" w:eastAsia="微软雅黑" w:cs="Times New Roman"/>
          <w:b/>
          <w:color w:val="auto"/>
          <w:kern w:val="2"/>
          <w:sz w:val="24"/>
        </w:rPr>
        <w:t>：</w:t>
      </w:r>
      <w:r>
        <w:rPr>
          <w:rFonts w:ascii="微软雅黑" w:hAnsi="微软雅黑" w:eastAsia="微软雅黑" w:cs="Times New Roman"/>
          <w:color w:val="auto"/>
          <w:kern w:val="2"/>
          <w:sz w:val="24"/>
        </w:rPr>
        <w:t>保护公园及周边生态环境，减少对自然景观的干扰，打造绿色低碳园区。</w:t>
      </w:r>
    </w:p>
    <w:p w14:paraId="3A64D3D2">
      <w:pPr>
        <w:numPr>
          <w:ilvl w:val="0"/>
          <w:numId w:val="2"/>
        </w:numPr>
        <w:adjustRightInd w:val="0"/>
        <w:spacing w:line="360" w:lineRule="auto"/>
        <w:ind w:left="363" w:hanging="258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布局合理且有特色</w:t>
      </w:r>
      <w:r>
        <w:rPr>
          <w:rFonts w:hint="eastAsia" w:ascii="微软雅黑" w:hAnsi="微软雅黑" w:eastAsia="微软雅黑"/>
          <w:sz w:val="24"/>
          <w:szCs w:val="22"/>
        </w:rPr>
        <w:t>：</w:t>
      </w:r>
      <w:r>
        <w:rPr>
          <w:rFonts w:ascii="微软雅黑" w:hAnsi="微软雅黑" w:eastAsia="微软雅黑"/>
          <w:sz w:val="24"/>
          <w:szCs w:val="22"/>
        </w:rPr>
        <w:t>建筑布局要突破</w:t>
      </w:r>
      <w:r>
        <w:rPr>
          <w:rFonts w:hint="eastAsia" w:ascii="微软雅黑" w:hAnsi="微软雅黑" w:eastAsia="微软雅黑"/>
          <w:sz w:val="24"/>
          <w:szCs w:val="22"/>
        </w:rPr>
        <w:t>常规</w:t>
      </w:r>
      <w:r>
        <w:rPr>
          <w:rFonts w:ascii="微软雅黑" w:hAnsi="微软雅黑" w:eastAsia="微软雅黑"/>
          <w:sz w:val="24"/>
          <w:szCs w:val="22"/>
        </w:rPr>
        <w:t>模块化格局 ,</w:t>
      </w:r>
      <w:r>
        <w:rPr>
          <w:rFonts w:hint="eastAsia" w:ascii="微软雅黑" w:hAnsi="微软雅黑" w:eastAsia="微软雅黑"/>
          <w:sz w:val="24"/>
        </w:rPr>
        <w:t xml:space="preserve"> </w:t>
      </w:r>
      <w:r>
        <w:rPr>
          <w:rFonts w:ascii="微软雅黑" w:hAnsi="微软雅黑" w:eastAsia="微软雅黑"/>
          <w:sz w:val="24"/>
          <w:szCs w:val="22"/>
        </w:rPr>
        <w:t>提倡</w:t>
      </w:r>
      <w:r>
        <w:rPr>
          <w:rFonts w:hint="eastAsia" w:ascii="微软雅黑" w:hAnsi="微软雅黑" w:eastAsia="微软雅黑"/>
          <w:sz w:val="24"/>
          <w:szCs w:val="22"/>
        </w:rPr>
        <w:t>空间丰富，</w:t>
      </w:r>
      <w:r>
        <w:rPr>
          <w:rFonts w:ascii="微软雅黑" w:hAnsi="微软雅黑" w:eastAsia="微软雅黑"/>
          <w:sz w:val="24"/>
          <w:szCs w:val="22"/>
        </w:rPr>
        <w:t>形式多样</w:t>
      </w:r>
      <w:r>
        <w:rPr>
          <w:rFonts w:hint="eastAsia" w:ascii="微软雅黑" w:hAnsi="微软雅黑" w:eastAsia="微软雅黑"/>
          <w:sz w:val="24"/>
          <w:szCs w:val="22"/>
        </w:rPr>
        <w:t>，</w:t>
      </w:r>
      <w:r>
        <w:rPr>
          <w:rFonts w:ascii="微软雅黑" w:hAnsi="微软雅黑" w:eastAsia="微软雅黑"/>
          <w:sz w:val="24"/>
          <w:szCs w:val="22"/>
        </w:rPr>
        <w:t>尺度适宜</w:t>
      </w:r>
      <w:r>
        <w:rPr>
          <w:rFonts w:hint="eastAsia" w:ascii="微软雅黑" w:hAnsi="微软雅黑" w:eastAsia="微软雅黑"/>
          <w:sz w:val="24"/>
          <w:szCs w:val="22"/>
        </w:rPr>
        <w:t>，</w:t>
      </w:r>
      <w:r>
        <w:rPr>
          <w:rFonts w:ascii="微软雅黑" w:hAnsi="微软雅黑" w:eastAsia="微软雅黑"/>
          <w:sz w:val="24"/>
          <w:szCs w:val="22"/>
        </w:rPr>
        <w:t>布局灵活</w:t>
      </w:r>
      <w:r>
        <w:rPr>
          <w:rFonts w:hint="eastAsia" w:ascii="微软雅黑" w:hAnsi="微软雅黑" w:eastAsia="微软雅黑"/>
          <w:sz w:val="24"/>
          <w:szCs w:val="22"/>
        </w:rPr>
        <w:t>，</w:t>
      </w:r>
      <w:r>
        <w:rPr>
          <w:rFonts w:ascii="微软雅黑" w:hAnsi="微软雅黑" w:eastAsia="微软雅黑"/>
          <w:sz w:val="24"/>
          <w:szCs w:val="22"/>
        </w:rPr>
        <w:t>疏密有致的建筑群体</w:t>
      </w:r>
      <w:r>
        <w:rPr>
          <w:rFonts w:hint="eastAsia" w:ascii="微软雅黑" w:hAnsi="微软雅黑" w:eastAsia="微软雅黑"/>
          <w:sz w:val="24"/>
          <w:szCs w:val="22"/>
        </w:rPr>
        <w:t>，</w:t>
      </w:r>
      <w:r>
        <w:rPr>
          <w:rFonts w:ascii="微软雅黑" w:hAnsi="微软雅黑" w:eastAsia="微软雅黑"/>
          <w:sz w:val="24"/>
          <w:szCs w:val="22"/>
        </w:rPr>
        <w:t>使建筑与环境相融合。</w:t>
      </w:r>
    </w:p>
    <w:p w14:paraId="1C916A93">
      <w:pPr>
        <w:numPr>
          <w:ilvl w:val="0"/>
          <w:numId w:val="2"/>
        </w:numPr>
        <w:adjustRightInd w:val="0"/>
        <w:spacing w:line="360" w:lineRule="auto"/>
        <w:ind w:left="363" w:hanging="258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sz w:val="24"/>
          <w:szCs w:val="22"/>
        </w:rPr>
        <w:t>建筑风貌与周边融合：</w:t>
      </w:r>
      <w:r>
        <w:rPr>
          <w:rFonts w:hint="eastAsia" w:ascii="微软雅黑" w:hAnsi="微软雅黑" w:eastAsia="微软雅黑"/>
          <w:sz w:val="24"/>
          <w:szCs w:val="22"/>
        </w:rPr>
        <w:t>建筑风格既符合当代建筑特征又体现地域文化性，与周边环境、风貌相协调。</w:t>
      </w:r>
      <w:r>
        <w:rPr>
          <w:rFonts w:hint="eastAsia" w:ascii="微软雅黑" w:hAnsi="微软雅黑" w:eastAsia="微软雅黑"/>
          <w:sz w:val="24"/>
        </w:rPr>
        <w:t>建筑风格现代经典、稳重大方、比例协调、细节丰富、色彩搭配和谐。</w:t>
      </w:r>
    </w:p>
    <w:p w14:paraId="0D095424">
      <w:pPr>
        <w:numPr>
          <w:ilvl w:val="0"/>
          <w:numId w:val="2"/>
        </w:numPr>
        <w:ind w:left="363" w:hanging="258"/>
        <w:rPr>
          <w:rFonts w:ascii="微软雅黑" w:hAnsi="微软雅黑" w:eastAsia="微软雅黑" w:cs="Helvetica"/>
          <w:b w:val="0"/>
          <w:color w:val="333333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sz w:val="24"/>
          <w:szCs w:val="22"/>
        </w:rPr>
        <w:t>交通组织要求</w:t>
      </w:r>
      <w:r>
        <w:rPr>
          <w:rFonts w:hint="eastAsia" w:ascii="微软雅黑" w:hAnsi="微软雅黑" w:eastAsia="微软雅黑" w:cs="Times New Roman"/>
          <w:b/>
          <w:sz w:val="24"/>
          <w:szCs w:val="22"/>
          <w:lang w:eastAsia="zh-CN"/>
        </w:rPr>
        <w:t>：</w:t>
      </w:r>
      <w:bookmarkStart w:id="0" w:name="_Hlk194334182"/>
      <w:r>
        <w:rPr>
          <w:rFonts w:ascii="微软雅黑" w:hAnsi="微软雅黑" w:eastAsia="微软雅黑" w:cs="Helvetica"/>
          <w:color w:val="333333"/>
          <w:sz w:val="24"/>
          <w:shd w:val="clear" w:color="auto" w:fill="FFFFFF"/>
        </w:rPr>
        <w:t>合理规划片区总体道路系统、车行流线、人行流线及出入口等；</w:t>
      </w:r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结合地形、发展需求规划合理的道路</w:t>
      </w:r>
      <w:bookmarkEnd w:id="0"/>
      <w:r>
        <w:rPr>
          <w:rFonts w:hint="eastAsia" w:ascii="微软雅黑" w:hAnsi="微软雅黑" w:eastAsia="微软雅黑" w:cs="Helvetica"/>
          <w:color w:val="333333"/>
          <w:sz w:val="24"/>
          <w:shd w:val="clear" w:color="auto" w:fill="FFFFFF"/>
        </w:rPr>
        <w:t>。</w:t>
      </w:r>
    </w:p>
    <w:p w14:paraId="400BDBC5">
      <w:pPr>
        <w:numPr>
          <w:ilvl w:val="0"/>
          <w:numId w:val="2"/>
        </w:numPr>
        <w:adjustRightInd w:val="0"/>
        <w:spacing w:line="360" w:lineRule="auto"/>
        <w:ind w:left="363" w:hanging="258"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 w:cs="Times New Roman"/>
          <w:b/>
          <w:sz w:val="24"/>
          <w:szCs w:val="22"/>
        </w:rPr>
        <w:t>环境</w:t>
      </w:r>
      <w:r>
        <w:rPr>
          <w:rFonts w:hint="eastAsia" w:ascii="微软雅黑" w:hAnsi="微软雅黑" w:eastAsia="微软雅黑" w:cs="Times New Roman"/>
          <w:b/>
          <w:sz w:val="24"/>
          <w:szCs w:val="22"/>
          <w:lang w:val="en-US" w:eastAsia="zh-CN"/>
        </w:rPr>
        <w:t>要求：</w:t>
      </w:r>
      <w:r>
        <w:rPr>
          <w:rFonts w:hint="eastAsia" w:ascii="微软雅黑" w:hAnsi="微软雅黑" w:eastAsia="微软雅黑"/>
          <w:sz w:val="24"/>
        </w:rPr>
        <w:t>设计应充分利用基地内现有的山体、湖泊等景观设计的重要元素。在总体景观设计中，对地形</w:t>
      </w:r>
      <w:r>
        <w:rPr>
          <w:rFonts w:ascii="微软雅黑" w:hAnsi="微软雅黑" w:eastAsia="微软雅黑"/>
          <w:sz w:val="24"/>
        </w:rPr>
        <w:t>地貌</w:t>
      </w:r>
      <w:r>
        <w:rPr>
          <w:rFonts w:hint="eastAsia" w:ascii="微软雅黑" w:hAnsi="微软雅黑" w:eastAsia="微软雅黑"/>
          <w:sz w:val="24"/>
        </w:rPr>
        <w:t>、生态环境</w:t>
      </w:r>
      <w:r>
        <w:rPr>
          <w:rFonts w:ascii="微软雅黑" w:hAnsi="微软雅黑" w:eastAsia="微软雅黑"/>
          <w:sz w:val="24"/>
        </w:rPr>
        <w:t>加以</w:t>
      </w:r>
      <w:r>
        <w:rPr>
          <w:rFonts w:hint="eastAsia" w:ascii="微软雅黑" w:hAnsi="微软雅黑" w:eastAsia="微软雅黑"/>
          <w:sz w:val="24"/>
        </w:rPr>
        <w:t>合理利用</w:t>
      </w:r>
      <w:r>
        <w:rPr>
          <w:rFonts w:ascii="微软雅黑" w:hAnsi="微软雅黑" w:eastAsia="微软雅黑"/>
          <w:sz w:val="24"/>
        </w:rPr>
        <w:t>，使整个园区环境品质在现有基础上有质的提升。</w:t>
      </w:r>
      <w:r>
        <w:rPr>
          <w:rFonts w:hint="eastAsia" w:ascii="微软雅黑" w:hAnsi="微软雅黑" w:eastAsia="微软雅黑"/>
          <w:sz w:val="24"/>
        </w:rPr>
        <w:t>善用当地植物品种，</w:t>
      </w:r>
      <w:r>
        <w:rPr>
          <w:rFonts w:ascii="微软雅黑" w:hAnsi="微软雅黑" w:eastAsia="微软雅黑"/>
          <w:sz w:val="24"/>
        </w:rPr>
        <w:t>塑造一个</w:t>
      </w:r>
      <w:r>
        <w:rPr>
          <w:rFonts w:hint="eastAsia" w:ascii="微软雅黑" w:hAnsi="微软雅黑" w:eastAsia="微软雅黑"/>
          <w:sz w:val="24"/>
        </w:rPr>
        <w:t>景观</w:t>
      </w:r>
      <w:r>
        <w:rPr>
          <w:rFonts w:ascii="微软雅黑" w:hAnsi="微软雅黑" w:eastAsia="微软雅黑"/>
          <w:sz w:val="24"/>
        </w:rPr>
        <w:t>层次清晰</w:t>
      </w:r>
      <w:r>
        <w:rPr>
          <w:rFonts w:hint="eastAsia" w:ascii="微软雅黑" w:hAnsi="微软雅黑" w:eastAsia="微软雅黑"/>
          <w:sz w:val="24"/>
        </w:rPr>
        <w:t>、</w:t>
      </w:r>
      <w:r>
        <w:rPr>
          <w:rFonts w:ascii="微软雅黑" w:hAnsi="微软雅黑" w:eastAsia="微软雅黑"/>
          <w:sz w:val="24"/>
        </w:rPr>
        <w:t>具有</w:t>
      </w:r>
      <w:r>
        <w:rPr>
          <w:rFonts w:hint="eastAsia" w:ascii="微软雅黑" w:hAnsi="微软雅黑" w:eastAsia="微软雅黑"/>
          <w:sz w:val="24"/>
        </w:rPr>
        <w:t>依湖而建</w:t>
      </w:r>
      <w:r>
        <w:rPr>
          <w:rFonts w:ascii="微软雅黑" w:hAnsi="微软雅黑" w:eastAsia="微软雅黑"/>
          <w:sz w:val="24"/>
        </w:rPr>
        <w:t>特色的自然环境。</w:t>
      </w:r>
    </w:p>
    <w:p w14:paraId="0D4D246B">
      <w:pPr>
        <w:numPr>
          <w:ilvl w:val="0"/>
          <w:numId w:val="1"/>
        </w:numPr>
        <w:adjustRightInd w:val="0"/>
        <w:spacing w:line="360" w:lineRule="auto"/>
        <w:jc w:val="left"/>
        <w:rPr>
          <w:rFonts w:hint="eastAsia"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设计成果要求（包括但不限于下述内容）</w:t>
      </w:r>
    </w:p>
    <w:p w14:paraId="1E339152">
      <w:pPr>
        <w:pStyle w:val="6"/>
        <w:adjustRightInd w:val="0"/>
        <w:spacing w:line="360" w:lineRule="auto"/>
        <w:ind w:firstLine="48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最终交付成果如下：包括设计说明、图纸、设计成果电子光盘。</w:t>
      </w:r>
    </w:p>
    <w:p w14:paraId="5CCC934D">
      <w:pPr>
        <w:pStyle w:val="6"/>
        <w:numPr>
          <w:ilvl w:val="0"/>
          <w:numId w:val="0"/>
        </w:numPr>
        <w:tabs>
          <w:tab w:val="left" w:pos="720"/>
        </w:tabs>
        <w:adjustRightInd w:val="0"/>
        <w:spacing w:line="360" w:lineRule="auto"/>
        <w:ind w:firstLine="567" w:firstLineChars="0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kern w:val="2"/>
          <w:sz w:val="24"/>
          <w:szCs w:val="24"/>
          <w:lang w:val="en-US" w:eastAsia="zh-CN" w:bidi="ar-SA"/>
        </w:rPr>
        <w:t>1.</w:t>
      </w:r>
      <w:r>
        <w:rPr>
          <w:rFonts w:ascii="微软雅黑" w:hAnsi="微软雅黑" w:eastAsia="微软雅黑"/>
          <w:b/>
          <w:sz w:val="24"/>
        </w:rPr>
        <w:t>设计说明</w:t>
      </w:r>
      <w:r>
        <w:rPr>
          <w:rFonts w:hint="eastAsia" w:ascii="微软雅黑" w:hAnsi="微软雅黑" w:eastAsia="微软雅黑"/>
          <w:b/>
          <w:sz w:val="24"/>
        </w:rPr>
        <w:t>：</w:t>
      </w:r>
    </w:p>
    <w:p w14:paraId="0E2ABE91">
      <w:pPr>
        <w:tabs>
          <w:tab w:val="left" w:pos="720"/>
        </w:tabs>
        <w:adjustRightInd w:val="0"/>
        <w:spacing w:line="360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包括概念规划方案及相关分析说明（现状及上位规划分析，用地功能分析，交通组织，公共配套设施，总用地面积、容积率、总建筑面积、计容建筑面积等主要技术经济指标，生态与景观设计等内容）。</w:t>
      </w:r>
    </w:p>
    <w:p w14:paraId="2C5B2603">
      <w:pPr>
        <w:pStyle w:val="6"/>
        <w:numPr>
          <w:ilvl w:val="0"/>
          <w:numId w:val="0"/>
        </w:numPr>
        <w:tabs>
          <w:tab w:val="left" w:pos="720"/>
        </w:tabs>
        <w:adjustRightInd w:val="0"/>
        <w:spacing w:line="360" w:lineRule="auto"/>
        <w:ind w:firstLine="567" w:firstLineChars="0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kern w:val="2"/>
          <w:sz w:val="24"/>
          <w:szCs w:val="24"/>
          <w:lang w:val="en-US" w:eastAsia="zh-CN" w:bidi="ar-SA"/>
        </w:rPr>
        <w:t>2.</w:t>
      </w:r>
      <w:r>
        <w:rPr>
          <w:rFonts w:ascii="微软雅黑" w:hAnsi="微软雅黑" w:eastAsia="微软雅黑"/>
          <w:b/>
          <w:sz w:val="24"/>
        </w:rPr>
        <w:t xml:space="preserve">主要图纸如下： </w:t>
      </w:r>
    </w:p>
    <w:p w14:paraId="6B3FF8B1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区位分析图</w:t>
      </w:r>
    </w:p>
    <w:p w14:paraId="276D655C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现状分析图</w:t>
      </w:r>
    </w:p>
    <w:p w14:paraId="1DA38168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建设用地布局规划图</w:t>
      </w:r>
    </w:p>
    <w:p w14:paraId="2301F16C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片区彩色总平面图和组团彩色总平面图（含主要经济技术指标）</w:t>
      </w:r>
    </w:p>
    <w:p w14:paraId="7F30D3CA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总体鸟瞰效果图（不少于2张）</w:t>
      </w:r>
    </w:p>
    <w:p w14:paraId="41517334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主要视点效果图（包括但不限于：组团鸟瞰建筑效果图、重要节点效果图）</w:t>
      </w:r>
    </w:p>
    <w:p w14:paraId="301276F1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交通流线组织分析图</w:t>
      </w:r>
    </w:p>
    <w:p w14:paraId="43DF9BE4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竖向规划分析图</w:t>
      </w:r>
    </w:p>
    <w:p w14:paraId="537711E6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公共开放空间设计分析图</w:t>
      </w:r>
    </w:p>
    <w:p w14:paraId="22F4FB0D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景观意向分析图</w:t>
      </w:r>
    </w:p>
    <w:p w14:paraId="3FB7E659">
      <w:pPr>
        <w:pStyle w:val="6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  <w:lang w:eastAsia="zh-CN"/>
        </w:rPr>
        <w:t>其他必要的</w:t>
      </w:r>
      <w:r>
        <w:rPr>
          <w:rFonts w:hint="eastAsia" w:ascii="微软雅黑" w:hAnsi="微软雅黑" w:eastAsia="微软雅黑"/>
          <w:sz w:val="24"/>
        </w:rPr>
        <w:t>能反映设计概念的设计图纸</w:t>
      </w:r>
    </w:p>
    <w:p w14:paraId="407D30AA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</w:rPr>
        <w:t>3.成果提交要求：</w:t>
      </w:r>
    </w:p>
    <w:p w14:paraId="00B1A7C3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  <w:szCs w:val="24"/>
        </w:rPr>
        <w:t>包括向委托方提供项目最终成果打印版 6 套，以光盘的方式提供最终成果电子数据 2 套，文字内容为P</w:t>
      </w:r>
      <w:r>
        <w:rPr>
          <w:rFonts w:ascii="微软雅黑" w:hAnsi="微软雅黑" w:eastAsia="微软雅黑"/>
          <w:sz w:val="24"/>
          <w:szCs w:val="24"/>
        </w:rPr>
        <w:t>PT</w:t>
      </w:r>
      <w:r>
        <w:rPr>
          <w:rFonts w:hint="eastAsia" w:ascii="微软雅黑" w:hAnsi="微软雅黑" w:eastAsia="微软雅黑"/>
          <w:sz w:val="24"/>
          <w:szCs w:val="24"/>
        </w:rPr>
        <w:t>、DOC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及</w:t>
      </w:r>
      <w:r>
        <w:rPr>
          <w:rFonts w:hint="eastAsia" w:ascii="微软雅黑" w:hAnsi="微软雅黑" w:eastAsia="微软雅黑"/>
          <w:sz w:val="24"/>
          <w:szCs w:val="24"/>
        </w:rPr>
        <w:t>PDF格式，图纸为DWG、JPG格式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视频动画</w:t>
      </w:r>
      <w:r>
        <w:rPr>
          <w:rFonts w:ascii="微软雅黑" w:hAnsi="微软雅黑" w:eastAsia="微软雅黑"/>
          <w:sz w:val="24"/>
          <w:szCs w:val="24"/>
        </w:rPr>
        <w:t>AVI</w:t>
      </w:r>
      <w:r>
        <w:rPr>
          <w:rFonts w:hint="eastAsia" w:ascii="微软雅黑" w:hAnsi="微软雅黑" w:eastAsia="微软雅黑"/>
          <w:sz w:val="24"/>
          <w:szCs w:val="24"/>
        </w:rPr>
        <w:t>格式</w:t>
      </w:r>
      <w:r>
        <w:rPr>
          <w:rFonts w:hint="eastAsia" w:ascii="微软雅黑" w:hAnsi="微软雅黑" w:eastAsia="微软雅黑"/>
          <w:sz w:val="24"/>
        </w:rPr>
        <w:t>。</w:t>
      </w:r>
      <w:bookmarkStart w:id="1" w:name="_GoBack"/>
      <w:bookmarkEnd w:id="1"/>
    </w:p>
    <w:p w14:paraId="1CF1E7C5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微软雅黑" w:hAnsi="微软雅黑" w:eastAsia="微软雅黑" w:cs="宋体"/>
          <w:b/>
          <w:bCs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4"/>
          <w:lang w:val="zh-CN"/>
        </w:rPr>
        <w:t>4.特别说明：</w:t>
      </w:r>
    </w:p>
    <w:p w14:paraId="59EECA40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微软雅黑" w:hAnsi="微软雅黑" w:eastAsia="微软雅黑" w:cs="宋体"/>
          <w:kern w:val="0"/>
          <w:sz w:val="24"/>
        </w:rPr>
      </w:pPr>
      <w:r>
        <w:rPr>
          <w:rFonts w:hint="eastAsia" w:ascii="微软雅黑" w:hAnsi="微软雅黑" w:eastAsia="微软雅黑" w:cs="宋体"/>
          <w:kern w:val="0"/>
          <w:sz w:val="24"/>
        </w:rPr>
        <w:t>在合同执行期间，任务书部分内容如需调整，乙方需根据甲方要求完成调整后的任务，相关费用已包含在投标报价中，不再另行计费。</w:t>
      </w:r>
    </w:p>
    <w:p w14:paraId="1683751E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微软雅黑" w:hAnsi="微软雅黑" w:eastAsia="微软雅黑" w:cs="宋体"/>
          <w:b/>
          <w:bCs/>
          <w:kern w:val="0"/>
          <w:sz w:val="24"/>
          <w:szCs w:val="24"/>
          <w:lang w:val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4"/>
          <w:szCs w:val="24"/>
          <w:lang w:val="zh-CN"/>
        </w:rPr>
        <w:t>附件：</w:t>
      </w:r>
    </w:p>
    <w:p w14:paraId="37B3BEF7">
      <w:pPr>
        <w:pStyle w:val="7"/>
        <w:widowControl/>
        <w:tabs>
          <w:tab w:val="center" w:pos="709"/>
        </w:tabs>
        <w:adjustRightInd w:val="0"/>
        <w:spacing w:line="360" w:lineRule="auto"/>
        <w:ind w:firstLine="48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1.</w:t>
      </w:r>
      <w:r>
        <w:rPr>
          <w:rFonts w:hint="eastAsia" w:ascii="微软雅黑" w:hAnsi="微软雅黑" w:eastAsia="微软雅黑"/>
          <w:sz w:val="24"/>
        </w:rPr>
        <w:t>用地红线范围</w:t>
      </w:r>
    </w:p>
    <w:p w14:paraId="55F9E480">
      <w:pPr>
        <w:pStyle w:val="7"/>
        <w:widowControl/>
        <w:tabs>
          <w:tab w:val="center" w:pos="709"/>
        </w:tabs>
        <w:adjustRightInd w:val="0"/>
        <w:spacing w:line="360" w:lineRule="auto"/>
        <w:ind w:firstLine="480"/>
        <w:jc w:val="left"/>
        <w:rPr>
          <w:rFonts w:hint="eastAsia" w:ascii="微软雅黑" w:hAnsi="微软雅黑" w:eastAsia="微软雅黑" w:cs="宋体"/>
          <w:kern w:val="0"/>
          <w:sz w:val="24"/>
          <w:lang w:val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2.</w:t>
      </w:r>
      <w:r>
        <w:rPr>
          <w:rFonts w:hint="eastAsia" w:ascii="微软雅黑" w:hAnsi="微软雅黑" w:eastAsia="微软雅黑"/>
          <w:sz w:val="24"/>
        </w:rPr>
        <w:t>地形图</w:t>
      </w:r>
    </w:p>
    <w:p w14:paraId="5769699C">
      <w:pPr>
        <w:jc w:val="center"/>
        <w:rPr>
          <w:rFonts w:hint="eastAsia"/>
          <w:sz w:val="28"/>
          <w:szCs w:val="28"/>
        </w:rPr>
      </w:pPr>
    </w:p>
    <w:p w14:paraId="2FBC38C6">
      <w:pPr>
        <w:spacing w:line="560" w:lineRule="exact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5AFE6CA2"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968F8"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179CE"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DF179CE"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6548C16B">
    <w:pPr>
      <w:pStyle w:val="3"/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94B4C0"/>
    <w:multiLevelType w:val="multilevel"/>
    <w:tmpl w:val="8094B4C0"/>
    <w:lvl w:ilvl="0" w:tentative="0">
      <w:start w:val="1"/>
      <w:numFmt w:val="decimal"/>
      <w:suff w:val="space"/>
      <w:lvlText w:val="%1)"/>
      <w:lvlJc w:val="left"/>
      <w:pPr>
        <w:ind w:left="0" w:firstLine="567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FC11FC8"/>
    <w:multiLevelType w:val="multilevel"/>
    <w:tmpl w:val="0FC11FC8"/>
    <w:lvl w:ilvl="0" w:tentative="0">
      <w:start w:val="1"/>
      <w:numFmt w:val="chineseCountingThousand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7D34A0BA"/>
    <w:multiLevelType w:val="multilevel"/>
    <w:tmpl w:val="7D34A0BA"/>
    <w:lvl w:ilvl="0" w:tentative="0">
      <w:start w:val="1"/>
      <w:numFmt w:val="decimal"/>
      <w:lvlText w:val="%1."/>
      <w:lvlJc w:val="left"/>
      <w:pPr>
        <w:ind w:left="363" w:hanging="258"/>
      </w:pPr>
      <w:rPr>
        <w:b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50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customStyle="1" w:styleId="7">
    <w:name w:val="列出段落1"/>
    <w:basedOn w:val="1"/>
    <w:qFormat/>
    <w:uiPriority w:val="0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2025-04-03T08:05:02Z</dcterms:created>
  <dc:creator>张健</dc:creator>
  <cp:lastModifiedBy>张琦</cp:lastModifiedBy>
  <dcterms:modified xsi:type="dcterms:W3CDTF">2025-04-03T08:11:59Z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eyJoZGlkIjoiZjYxZTUyYjc1MzQwNWRmNjlmMWQyYmQ2NmM1M2U4MmMiLCJ1c2VySWQiOiIyNjEzMjU1OTEifQ==</vt:lpwstr>
  </property>
  <property fmtid="{D5CDD505-2E9C-101B-9397-08002B2CF9AE}" pid="4" name="ICV">
    <vt:lpwstr>5A2413946F1E4BE48DBDF1E92A56F142_12</vt:lpwstr>
  </property>
</Properties>
</file>