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28B1C">
      <w:pPr>
        <w:pStyle w:val="7"/>
        <w:spacing w:line="360" w:lineRule="auto"/>
        <w:rPr>
          <w:rFonts w:hint="eastAsia" w:ascii="宋体" w:hAnsi="宋体"/>
          <w:b/>
          <w:bCs/>
          <w:kern w:val="44"/>
          <w:szCs w:val="21"/>
        </w:rPr>
      </w:pPr>
      <w:r>
        <w:rPr>
          <w:rFonts w:hint="eastAsia" w:ascii="宋体" w:hAnsi="宋体"/>
          <w:b/>
          <w:bCs/>
          <w:kern w:val="44"/>
          <w:szCs w:val="21"/>
        </w:rPr>
        <w:t xml:space="preserve">附件1                          </w:t>
      </w:r>
    </w:p>
    <w:p w14:paraId="754C80D3">
      <w:pPr>
        <w:pStyle w:val="7"/>
        <w:spacing w:line="360" w:lineRule="auto"/>
        <w:ind w:firstLine="3915" w:firstLineChars="1300"/>
        <w:rPr>
          <w:rFonts w:ascii="宋体" w:hAnsi="宋体" w:cs="宋体"/>
          <w:b/>
          <w:spacing w:val="4"/>
          <w:sz w:val="32"/>
          <w:szCs w:val="32"/>
        </w:rPr>
      </w:pPr>
      <w:bookmarkStart w:id="0" w:name="_GoBack"/>
      <w:r>
        <w:rPr>
          <w:rFonts w:hint="eastAsia" w:ascii="宋体" w:hAnsi="宋体"/>
          <w:b/>
          <w:kern w:val="0"/>
          <w:sz w:val="30"/>
          <w:szCs w:val="22"/>
        </w:rPr>
        <w:t>履约评价</w:t>
      </w:r>
      <w:bookmarkEnd w:id="0"/>
      <w:r>
        <w:rPr>
          <w:rFonts w:hint="eastAsia" w:ascii="宋体" w:hAnsi="宋体"/>
          <w:b/>
          <w:kern w:val="0"/>
          <w:sz w:val="30"/>
          <w:szCs w:val="22"/>
        </w:rPr>
        <w:t xml:space="preserve">   </w:t>
      </w:r>
      <w:r>
        <w:rPr>
          <w:rFonts w:hint="eastAsia" w:ascii="宋体" w:hAnsi="宋体" w:cs="宋体"/>
          <w:b/>
          <w:spacing w:val="4"/>
          <w:sz w:val="32"/>
          <w:szCs w:val="32"/>
        </w:rPr>
        <w:t xml:space="preserve">             </w:t>
      </w:r>
    </w:p>
    <w:p w14:paraId="2033ED4E">
      <w:pPr>
        <w:pStyle w:val="7"/>
        <w:spacing w:line="360" w:lineRule="auto"/>
        <w:ind w:firstLine="465"/>
        <w:rPr>
          <w:rFonts w:hint="eastAsia" w:ascii="宋体"/>
          <w:bCs/>
          <w:sz w:val="24"/>
          <w:u w:val="single"/>
        </w:rPr>
      </w:pPr>
      <w:r>
        <w:rPr>
          <w:rFonts w:hint="eastAsia" w:ascii="宋体"/>
          <w:bCs/>
          <w:sz w:val="24"/>
          <w:u w:val="single"/>
        </w:rPr>
        <w:t>1、本办法以承包人的实际工作为根据，通过量化的方式对其工作进行全面评价，并奖优罚劣，以提高承包人合同履约工作整体质量。</w:t>
      </w:r>
    </w:p>
    <w:p w14:paraId="02D1BF0D">
      <w:pPr>
        <w:pStyle w:val="7"/>
        <w:spacing w:line="360" w:lineRule="auto"/>
        <w:ind w:firstLine="465"/>
        <w:rPr>
          <w:rFonts w:hint="eastAsia" w:ascii="宋体"/>
          <w:bCs/>
          <w:sz w:val="24"/>
          <w:u w:val="single"/>
        </w:rPr>
      </w:pPr>
      <w:r>
        <w:rPr>
          <w:rFonts w:hint="eastAsia" w:ascii="宋体"/>
          <w:bCs/>
          <w:sz w:val="24"/>
          <w:u w:val="single"/>
        </w:rPr>
        <w:t>2、发包人有权依据其印发的《工程建设项目合同履约评价管理办法》及本合同约定对评价内容进行修订、补充和完善，承包人应无条件接受修订后的评价内容。</w:t>
      </w:r>
    </w:p>
    <w:p w14:paraId="798293AD">
      <w:pPr>
        <w:pStyle w:val="7"/>
        <w:spacing w:line="360" w:lineRule="auto"/>
        <w:ind w:firstLine="465"/>
        <w:rPr>
          <w:rFonts w:hint="eastAsia" w:ascii="宋体"/>
          <w:bCs/>
          <w:sz w:val="24"/>
          <w:u w:val="single"/>
        </w:rPr>
      </w:pPr>
      <w:r>
        <w:rPr>
          <w:rFonts w:hint="eastAsia" w:ascii="宋体"/>
          <w:bCs/>
          <w:sz w:val="24"/>
          <w:u w:val="single"/>
        </w:rPr>
        <w:t>3、评价工作由发包人牵头，监理工程师负责组织，造价咨询单位参加，承包人应无条件配合发包人对其进行评价，并无条件接受评价结果以及发包人依据《工程建设项目合同履约评价管理办法》对结果进行应用，承包人承诺不会因此提出任何延期、索赔等要求。</w:t>
      </w:r>
    </w:p>
    <w:p w14:paraId="13686B3B">
      <w:pPr>
        <w:pStyle w:val="7"/>
        <w:spacing w:line="360" w:lineRule="auto"/>
        <w:ind w:firstLine="465"/>
        <w:rPr>
          <w:rFonts w:ascii="宋体"/>
          <w:bCs/>
          <w:sz w:val="24"/>
          <w:u w:val="single"/>
        </w:rPr>
      </w:pPr>
      <w:r>
        <w:rPr>
          <w:rFonts w:hint="eastAsia" w:ascii="宋体"/>
          <w:bCs/>
          <w:sz w:val="24"/>
          <w:u w:val="single"/>
        </w:rPr>
        <w:t>4、评分细则</w:t>
      </w:r>
    </w:p>
    <w:p w14:paraId="4ADF6944">
      <w:pPr>
        <w:pStyle w:val="7"/>
        <w:spacing w:line="360" w:lineRule="auto"/>
        <w:ind w:firstLine="465"/>
        <w:rPr>
          <w:rFonts w:ascii="宋体"/>
          <w:bCs/>
          <w:sz w:val="24"/>
          <w:u w:val="single"/>
        </w:rPr>
      </w:pPr>
      <w:r>
        <w:rPr>
          <w:rFonts w:hint="eastAsia" w:ascii="宋体"/>
          <w:bCs/>
          <w:sz w:val="24"/>
          <w:u w:val="single"/>
        </w:rPr>
        <w:t>（1）发包人依据《工程建设项目合同履约评价管理办法》及本合同约定对承包人进行履约评价。</w:t>
      </w:r>
    </w:p>
    <w:p w14:paraId="0EC03811">
      <w:pPr>
        <w:pStyle w:val="7"/>
        <w:spacing w:line="360" w:lineRule="auto"/>
        <w:ind w:firstLine="465"/>
        <w:rPr>
          <w:rFonts w:ascii="宋体"/>
          <w:bCs/>
          <w:sz w:val="24"/>
          <w:u w:val="single"/>
        </w:rPr>
      </w:pPr>
      <w:r>
        <w:rPr>
          <w:rFonts w:hint="eastAsia" w:ascii="宋体"/>
          <w:bCs/>
          <w:sz w:val="24"/>
          <w:u w:val="single"/>
        </w:rPr>
        <w:t>（2）采用一次性履约评价方式，竣工验收后组织最终履约评价。</w:t>
      </w:r>
    </w:p>
    <w:p w14:paraId="2D6584E5">
      <w:pPr>
        <w:pStyle w:val="7"/>
        <w:spacing w:line="360" w:lineRule="auto"/>
        <w:ind w:firstLine="465"/>
        <w:rPr>
          <w:rFonts w:ascii="宋体"/>
          <w:bCs/>
          <w:sz w:val="24"/>
          <w:u w:val="single"/>
        </w:rPr>
      </w:pPr>
      <w:r>
        <w:rPr>
          <w:rFonts w:hint="eastAsia" w:ascii="宋体"/>
          <w:bCs/>
          <w:sz w:val="24"/>
          <w:u w:val="single"/>
        </w:rPr>
        <w:t>（3）每个类别根据各评分项目规定的评分细则进行打分。</w:t>
      </w:r>
    </w:p>
    <w:p w14:paraId="5375814B">
      <w:pPr>
        <w:pStyle w:val="7"/>
        <w:spacing w:line="360" w:lineRule="auto"/>
        <w:ind w:firstLine="465"/>
        <w:rPr>
          <w:rFonts w:ascii="宋体"/>
          <w:bCs/>
          <w:sz w:val="24"/>
          <w:u w:val="single"/>
        </w:rPr>
      </w:pPr>
      <w:r>
        <w:rPr>
          <w:rFonts w:hint="eastAsia" w:ascii="宋体"/>
          <w:bCs/>
          <w:sz w:val="24"/>
          <w:u w:val="single"/>
        </w:rPr>
        <w:t>（4）每个评分项目的打分不得超过该项目的标准分，每个项目的扣分按评分项目直至扣到零分为止。</w:t>
      </w:r>
    </w:p>
    <w:p w14:paraId="27082909">
      <w:pPr>
        <w:pStyle w:val="7"/>
        <w:spacing w:line="360" w:lineRule="auto"/>
        <w:ind w:firstLine="465"/>
        <w:rPr>
          <w:rFonts w:ascii="宋体"/>
          <w:bCs/>
          <w:sz w:val="24"/>
          <w:u w:val="single"/>
        </w:rPr>
      </w:pPr>
      <w:r>
        <w:rPr>
          <w:rFonts w:hint="eastAsia" w:ascii="宋体"/>
          <w:bCs/>
          <w:sz w:val="24"/>
          <w:u w:val="single"/>
        </w:rPr>
        <w:t>5、评价结果</w:t>
      </w:r>
    </w:p>
    <w:p w14:paraId="56926124">
      <w:pPr>
        <w:pStyle w:val="7"/>
        <w:spacing w:line="360" w:lineRule="auto"/>
        <w:ind w:firstLine="465"/>
        <w:rPr>
          <w:rFonts w:ascii="宋体"/>
          <w:bCs/>
          <w:sz w:val="24"/>
          <w:u w:val="single"/>
        </w:rPr>
      </w:pPr>
      <w:r>
        <w:rPr>
          <w:rFonts w:hint="eastAsia" w:ascii="宋体"/>
          <w:bCs/>
          <w:sz w:val="24"/>
          <w:u w:val="single"/>
        </w:rPr>
        <w:t>履约评价结果将按照发包人印发的《工程建设项目合同履约评价管理办法》进行运用。</w:t>
      </w:r>
    </w:p>
    <w:p w14:paraId="7781E3DC">
      <w:pPr>
        <w:adjustRightInd w:val="0"/>
        <w:snapToGrid w:val="0"/>
        <w:spacing w:line="360" w:lineRule="auto"/>
        <w:jc w:val="left"/>
        <w:rPr>
          <w:rFonts w:hint="eastAsia" w:ascii="宋体" w:hAnsi="宋体"/>
          <w:b/>
          <w:sz w:val="36"/>
          <w:szCs w:val="36"/>
        </w:rPr>
        <w:sectPr>
          <w:pgSz w:w="11906" w:h="16838"/>
          <w:pgMar w:top="1276" w:right="1351" w:bottom="1135" w:left="1414" w:header="851" w:footer="992" w:gutter="0"/>
          <w:cols w:space="720" w:num="1"/>
          <w:docGrid w:type="lines" w:linePitch="312" w:charSpace="0"/>
        </w:sectPr>
      </w:pPr>
    </w:p>
    <w:p w14:paraId="1D357CB8">
      <w:pPr>
        <w:adjustRightInd w:val="0"/>
        <w:snapToGrid w:val="0"/>
        <w:spacing w:line="360" w:lineRule="auto"/>
        <w:jc w:val="left"/>
        <w:rPr>
          <w:rFonts w:ascii="宋体" w:hAnsi="宋体"/>
          <w:snapToGrid w:val="0"/>
          <w:szCs w:val="21"/>
        </w:rPr>
      </w:pPr>
      <w:r>
        <w:rPr>
          <w:rFonts w:hint="eastAsia" w:ascii="宋体" w:hAnsi="宋体"/>
          <w:b/>
          <w:sz w:val="36"/>
          <w:szCs w:val="36"/>
        </w:rPr>
        <w:t xml:space="preserve">    </w:t>
      </w:r>
    </w:p>
    <w:tbl>
      <w:tblPr>
        <w:tblStyle w:val="5"/>
        <w:tblW w:w="8760" w:type="dxa"/>
        <w:tblInd w:w="0" w:type="dxa"/>
        <w:tblLayout w:type="fixed"/>
        <w:tblCellMar>
          <w:top w:w="0" w:type="dxa"/>
          <w:left w:w="0" w:type="dxa"/>
          <w:bottom w:w="0" w:type="dxa"/>
          <w:right w:w="0" w:type="dxa"/>
        </w:tblCellMar>
      </w:tblPr>
      <w:tblGrid>
        <w:gridCol w:w="527"/>
        <w:gridCol w:w="703"/>
        <w:gridCol w:w="702"/>
        <w:gridCol w:w="789"/>
        <w:gridCol w:w="705"/>
        <w:gridCol w:w="750"/>
        <w:gridCol w:w="645"/>
        <w:gridCol w:w="2790"/>
        <w:gridCol w:w="750"/>
        <w:gridCol w:w="399"/>
      </w:tblGrid>
      <w:tr w14:paraId="47BBF77B">
        <w:tblPrEx>
          <w:tblCellMar>
            <w:top w:w="0" w:type="dxa"/>
            <w:left w:w="0" w:type="dxa"/>
            <w:bottom w:w="0" w:type="dxa"/>
            <w:right w:w="0" w:type="dxa"/>
          </w:tblCellMar>
        </w:tblPrEx>
        <w:trPr>
          <w:trHeight w:val="1020" w:hRule="atLeast"/>
        </w:trPr>
        <w:tc>
          <w:tcPr>
            <w:tcW w:w="8760" w:type="dxa"/>
            <w:gridSpan w:val="10"/>
            <w:tcBorders>
              <w:top w:val="nil"/>
              <w:left w:val="nil"/>
              <w:bottom w:val="nil"/>
              <w:right w:val="nil"/>
            </w:tcBorders>
            <w:noWrap w:val="0"/>
            <w:tcMar>
              <w:top w:w="15" w:type="dxa"/>
              <w:left w:w="15" w:type="dxa"/>
              <w:right w:w="15" w:type="dxa"/>
            </w:tcMar>
            <w:vAlign w:val="center"/>
          </w:tcPr>
          <w:p w14:paraId="55A16B25">
            <w:pPr>
              <w:widowControl/>
              <w:jc w:val="center"/>
              <w:textAlignment w:val="center"/>
              <w:rPr>
                <w:rFonts w:hint="eastAsia" w:ascii="黑体" w:hAnsi="宋体" w:eastAsia="黑体" w:cs="黑体"/>
                <w:b/>
                <w:sz w:val="36"/>
                <w:szCs w:val="36"/>
              </w:rPr>
            </w:pPr>
            <w:r>
              <w:rPr>
                <w:rFonts w:hint="eastAsia" w:ascii="宋体" w:hAnsi="宋体"/>
                <w:b/>
                <w:sz w:val="36"/>
                <w:szCs w:val="36"/>
              </w:rPr>
              <w:t xml:space="preserve">     </w:t>
            </w:r>
            <w:r>
              <w:rPr>
                <w:rFonts w:hint="eastAsia" w:ascii="黑体" w:hAnsi="宋体" w:eastAsia="黑体" w:cs="黑体"/>
                <w:b/>
                <w:kern w:val="0"/>
                <w:sz w:val="24"/>
                <w:szCs w:val="24"/>
                <w:lang w:bidi="ar"/>
              </w:rPr>
              <w:t>施工合同节点履约评价评分标准表</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（样表）</w:t>
            </w:r>
          </w:p>
        </w:tc>
      </w:tr>
      <w:tr w14:paraId="2046703D">
        <w:tblPrEx>
          <w:tblCellMar>
            <w:top w:w="0" w:type="dxa"/>
            <w:left w:w="0" w:type="dxa"/>
            <w:bottom w:w="0" w:type="dxa"/>
            <w:right w:w="0" w:type="dxa"/>
          </w:tblCellMar>
        </w:tblPrEx>
        <w:trPr>
          <w:trHeight w:val="800" w:hRule="atLeast"/>
        </w:trPr>
        <w:tc>
          <w:tcPr>
            <w:tcW w:w="8760" w:type="dxa"/>
            <w:gridSpan w:val="10"/>
            <w:tcBorders>
              <w:top w:val="nil"/>
              <w:left w:val="nil"/>
              <w:bottom w:val="nil"/>
              <w:right w:val="nil"/>
            </w:tcBorders>
            <w:noWrap w:val="0"/>
            <w:tcMar>
              <w:top w:w="15" w:type="dxa"/>
              <w:left w:w="15" w:type="dxa"/>
              <w:right w:w="15" w:type="dxa"/>
            </w:tcMar>
            <w:vAlign w:val="center"/>
          </w:tcPr>
          <w:p w14:paraId="2AE764F3">
            <w:pPr>
              <w:widowControl/>
              <w:jc w:val="left"/>
              <w:textAlignment w:val="center"/>
              <w:rPr>
                <w:rFonts w:hint="eastAsia" w:ascii="黑体" w:hAnsi="宋体" w:eastAsia="黑体" w:cs="黑体"/>
                <w:b/>
                <w:sz w:val="24"/>
                <w:szCs w:val="24"/>
              </w:rPr>
            </w:pPr>
            <w:r>
              <w:rPr>
                <w:rFonts w:hint="eastAsia" w:ascii="黑体" w:hAnsi="宋体" w:eastAsia="黑体" w:cs="黑体"/>
                <w:b/>
                <w:kern w:val="0"/>
                <w:sz w:val="24"/>
                <w:szCs w:val="24"/>
                <w:lang w:bidi="ar"/>
              </w:rPr>
              <w:t xml:space="preserve">工程名称：                                          评价人员：                                                                     评价时间：                                          履约单位： </w:t>
            </w:r>
          </w:p>
        </w:tc>
      </w:tr>
      <w:tr w14:paraId="3AF4939A">
        <w:tblPrEx>
          <w:tblCellMar>
            <w:top w:w="0" w:type="dxa"/>
            <w:left w:w="0" w:type="dxa"/>
            <w:bottom w:w="0" w:type="dxa"/>
            <w:right w:w="0" w:type="dxa"/>
          </w:tblCellMar>
        </w:tblPrEx>
        <w:trPr>
          <w:trHeight w:val="120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41B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BB6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一级指标名称</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A6C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一级指标权重分值</w:t>
            </w: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8A2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二级指标名称</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41B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二级指标权重分值</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00A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三级指标名称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024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三级指标权重分值</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0BE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考核要素</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9CB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履约率</w:t>
            </w: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880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得分</w:t>
            </w:r>
          </w:p>
        </w:tc>
      </w:tr>
      <w:tr w14:paraId="37D7C4BF">
        <w:tblPrEx>
          <w:tblCellMar>
            <w:top w:w="0" w:type="dxa"/>
            <w:left w:w="0" w:type="dxa"/>
            <w:bottom w:w="0" w:type="dxa"/>
            <w:right w:w="0" w:type="dxa"/>
          </w:tblCellMar>
        </w:tblPrEx>
        <w:trPr>
          <w:trHeight w:val="1780" w:hRule="atLeast"/>
        </w:trPr>
        <w:tc>
          <w:tcPr>
            <w:tcW w:w="5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F16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B31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人员和资源配备</w:t>
            </w:r>
          </w:p>
        </w:tc>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9D9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7CF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项目经理</w:t>
            </w:r>
          </w:p>
        </w:tc>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9EA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DCD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项目经理</w:t>
            </w:r>
            <w:r>
              <w:rPr>
                <w:rFonts w:hint="eastAsia" w:ascii="宋体" w:hAnsi="宋体" w:cs="宋体"/>
                <w:kern w:val="0"/>
                <w:sz w:val="20"/>
                <w:szCs w:val="20"/>
                <w:lang w:bidi="ar"/>
              </w:rPr>
              <w:br w:type="textWrapping"/>
            </w:r>
            <w:r>
              <w:rPr>
                <w:rFonts w:hint="eastAsia" w:ascii="宋体" w:hAnsi="宋体" w:cs="宋体"/>
                <w:kern w:val="0"/>
                <w:sz w:val="20"/>
                <w:szCs w:val="20"/>
                <w:lang w:bidi="ar"/>
              </w:rPr>
              <w:t>稳定性</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739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C5C9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派驻现场的项目经理与投标文件的承诺一致，若不一致须按合同约定进行变更。</w:t>
            </w:r>
            <w:r>
              <w:rPr>
                <w:rFonts w:hint="eastAsia" w:ascii="宋体" w:hAnsi="宋体" w:cs="宋体"/>
                <w:kern w:val="0"/>
                <w:sz w:val="20"/>
                <w:szCs w:val="20"/>
                <w:lang w:bidi="ar"/>
              </w:rPr>
              <w:br w:type="textWrapping"/>
            </w:r>
            <w:r>
              <w:rPr>
                <w:rFonts w:hint="eastAsia" w:ascii="宋体" w:hAnsi="宋体" w:cs="宋体"/>
                <w:kern w:val="0"/>
                <w:sz w:val="20"/>
                <w:szCs w:val="20"/>
                <w:lang w:bidi="ar"/>
              </w:rPr>
              <w:t>对于逾期未按约定申报变更或无故变更的，每逾期1天申报变更的，降低履约率1个档次，履约率变0%为止。</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3CEF8">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6CB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4386A58A">
        <w:tblPrEx>
          <w:tblCellMar>
            <w:top w:w="0" w:type="dxa"/>
            <w:left w:w="0" w:type="dxa"/>
            <w:bottom w:w="0" w:type="dxa"/>
            <w:right w:w="0" w:type="dxa"/>
          </w:tblCellMar>
        </w:tblPrEx>
        <w:trPr>
          <w:trHeight w:val="174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545C4">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6D6AC">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08EF2">
            <w:pPr>
              <w:jc w:val="center"/>
              <w:rPr>
                <w:rFonts w:hint="eastAsia" w:ascii="宋体" w:hAnsi="宋体" w:cs="宋体"/>
                <w:sz w:val="20"/>
                <w:szCs w:val="20"/>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B4D57">
            <w:pPr>
              <w:jc w:val="center"/>
              <w:rPr>
                <w:rFonts w:hint="eastAsia" w:ascii="宋体" w:hAnsi="宋体" w:cs="宋体"/>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B6AE6">
            <w:pPr>
              <w:jc w:val="center"/>
              <w:rPr>
                <w:rFonts w:hint="eastAsia"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456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项目经理</w:t>
            </w:r>
            <w:r>
              <w:rPr>
                <w:rFonts w:hint="eastAsia" w:ascii="宋体" w:hAnsi="宋体" w:cs="宋体"/>
                <w:kern w:val="0"/>
                <w:sz w:val="20"/>
                <w:szCs w:val="20"/>
                <w:lang w:bidi="ar"/>
              </w:rPr>
              <w:br w:type="textWrapping"/>
            </w:r>
            <w:r>
              <w:rPr>
                <w:rFonts w:hint="eastAsia" w:ascii="宋体" w:hAnsi="宋体" w:cs="宋体"/>
                <w:kern w:val="0"/>
                <w:sz w:val="20"/>
                <w:szCs w:val="20"/>
                <w:lang w:bidi="ar"/>
              </w:rPr>
              <w:t>履职情况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A31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5A9E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派驻现场的项目经理及时到位、按要求常驻现场，无兼任其它工程项目的项目经理。</w:t>
            </w:r>
            <w:r>
              <w:rPr>
                <w:rFonts w:hint="eastAsia" w:ascii="宋体" w:hAnsi="宋体" w:cs="宋体"/>
                <w:kern w:val="0"/>
                <w:sz w:val="20"/>
                <w:szCs w:val="20"/>
                <w:lang w:bidi="ar"/>
              </w:rPr>
              <w:br w:type="textWrapping"/>
            </w:r>
            <w:r>
              <w:rPr>
                <w:rFonts w:hint="eastAsia" w:ascii="宋体" w:hAnsi="宋体" w:cs="宋体"/>
                <w:kern w:val="0"/>
                <w:sz w:val="20"/>
                <w:szCs w:val="20"/>
                <w:lang w:bidi="ar"/>
              </w:rPr>
              <w:t>结合项目经理点名、考勤率判断履约率；若发现项目经理同时兼任其它工程项目的项目经理，履约率直接判定为0%。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DC5BF">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D7B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EA52404">
        <w:tblPrEx>
          <w:tblCellMar>
            <w:top w:w="0" w:type="dxa"/>
            <w:left w:w="0" w:type="dxa"/>
            <w:bottom w:w="0" w:type="dxa"/>
            <w:right w:w="0" w:type="dxa"/>
          </w:tblCellMar>
        </w:tblPrEx>
        <w:trPr>
          <w:trHeight w:val="182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F1F63">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51094">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93E23">
            <w:pPr>
              <w:jc w:val="center"/>
              <w:rPr>
                <w:rFonts w:hint="eastAsia" w:ascii="宋体" w:hAnsi="宋体" w:cs="宋体"/>
                <w:sz w:val="20"/>
                <w:szCs w:val="20"/>
              </w:rPr>
            </w:pP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AB4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关键岗位人员</w:t>
            </w:r>
            <w:r>
              <w:rPr>
                <w:rFonts w:hint="eastAsia" w:ascii="宋体" w:hAnsi="宋体" w:cs="宋体"/>
                <w:kern w:val="0"/>
                <w:sz w:val="20"/>
                <w:szCs w:val="20"/>
                <w:lang w:bidi="ar"/>
              </w:rPr>
              <w:br w:type="textWrapping"/>
            </w:r>
            <w:r>
              <w:rPr>
                <w:rFonts w:hint="eastAsia" w:ascii="宋体" w:hAnsi="宋体" w:cs="宋体"/>
                <w:kern w:val="0"/>
                <w:sz w:val="20"/>
                <w:szCs w:val="20"/>
                <w:lang w:bidi="ar"/>
              </w:rPr>
              <w:t>（技术负责人、质量负责人、安全负责人、安全员等）</w:t>
            </w:r>
          </w:p>
        </w:tc>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ED4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176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w:t>
            </w:r>
            <w:r>
              <w:rPr>
                <w:rFonts w:hint="eastAsia" w:ascii="宋体" w:hAnsi="宋体" w:cs="宋体"/>
                <w:kern w:val="0"/>
                <w:sz w:val="20"/>
                <w:szCs w:val="20"/>
                <w:lang w:bidi="ar"/>
              </w:rPr>
              <w:br w:type="textWrapping"/>
            </w:r>
            <w:r>
              <w:rPr>
                <w:rFonts w:hint="eastAsia" w:ascii="宋体" w:hAnsi="宋体" w:cs="宋体"/>
                <w:kern w:val="0"/>
                <w:sz w:val="20"/>
                <w:szCs w:val="20"/>
                <w:lang w:bidi="ar"/>
              </w:rPr>
              <w:t>稳定性</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6EA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ABEC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派驻现场的关键岗位人员与投标文件的承诺一致，若不一致须按合同约定进行变更。</w:t>
            </w:r>
            <w:r>
              <w:rPr>
                <w:rFonts w:hint="eastAsia" w:ascii="宋体" w:hAnsi="宋体" w:cs="宋体"/>
                <w:kern w:val="0"/>
                <w:sz w:val="20"/>
                <w:szCs w:val="20"/>
                <w:lang w:bidi="ar"/>
              </w:rPr>
              <w:br w:type="textWrapping"/>
            </w:r>
            <w:r>
              <w:rPr>
                <w:rFonts w:hint="eastAsia" w:ascii="宋体" w:hAnsi="宋体" w:cs="宋体"/>
                <w:kern w:val="0"/>
                <w:sz w:val="20"/>
                <w:szCs w:val="20"/>
                <w:lang w:bidi="ar"/>
              </w:rPr>
              <w:t>对于逾期未按约定申报变更或无故变更的，每逾期1天申报变更的，降低履约率1个档次，履约率变0%为止。</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D79F3">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444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2AF1768">
        <w:tblPrEx>
          <w:tblCellMar>
            <w:top w:w="0" w:type="dxa"/>
            <w:left w:w="0" w:type="dxa"/>
            <w:bottom w:w="0" w:type="dxa"/>
            <w:right w:w="0" w:type="dxa"/>
          </w:tblCellMar>
        </w:tblPrEx>
        <w:trPr>
          <w:trHeight w:val="256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8876D">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B7BB0">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65DF1">
            <w:pPr>
              <w:jc w:val="center"/>
              <w:rPr>
                <w:rFonts w:hint="eastAsia" w:ascii="宋体" w:hAnsi="宋体" w:cs="宋体"/>
                <w:sz w:val="20"/>
                <w:szCs w:val="20"/>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B0D40">
            <w:pPr>
              <w:jc w:val="center"/>
              <w:rPr>
                <w:rFonts w:hint="eastAsia" w:ascii="宋体" w:hAnsi="宋体" w:cs="宋体"/>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C2643">
            <w:pPr>
              <w:jc w:val="center"/>
              <w:rPr>
                <w:rFonts w:hint="eastAsia"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D9A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w:t>
            </w:r>
            <w:r>
              <w:rPr>
                <w:rFonts w:hint="eastAsia" w:ascii="宋体" w:hAnsi="宋体" w:cs="宋体"/>
                <w:kern w:val="0"/>
                <w:sz w:val="20"/>
                <w:szCs w:val="20"/>
                <w:lang w:bidi="ar"/>
              </w:rPr>
              <w:br w:type="textWrapping"/>
            </w:r>
            <w:r>
              <w:rPr>
                <w:rFonts w:hint="eastAsia" w:ascii="宋体" w:hAnsi="宋体" w:cs="宋体"/>
                <w:kern w:val="0"/>
                <w:sz w:val="20"/>
                <w:szCs w:val="20"/>
                <w:lang w:bidi="ar"/>
              </w:rPr>
              <w:t>履职情况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1B7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CF1E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派驻现场的关键岗位人员及时到位、按要求常驻现场，无兼任其它工程项目的。关键岗位人员离开施工现场有按合同约定报监理人及发包人。</w:t>
            </w:r>
            <w:r>
              <w:rPr>
                <w:rFonts w:hint="eastAsia" w:ascii="宋体" w:hAnsi="宋体" w:cs="宋体"/>
                <w:kern w:val="0"/>
                <w:sz w:val="20"/>
                <w:szCs w:val="20"/>
                <w:lang w:bidi="ar"/>
              </w:rPr>
              <w:br w:type="textWrapping"/>
            </w:r>
            <w:r>
              <w:rPr>
                <w:rFonts w:hint="eastAsia" w:ascii="宋体" w:hAnsi="宋体" w:cs="宋体"/>
                <w:kern w:val="0"/>
                <w:sz w:val="20"/>
                <w:szCs w:val="20"/>
                <w:lang w:bidi="ar"/>
              </w:rPr>
              <w:t>结合常驻现场考勤率判断履约率；若发现关键岗位人员同时兼任其它工程项目岗位的，履约率直接判定为0%。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7B845">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D49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334CF35">
        <w:tblPrEx>
          <w:tblCellMar>
            <w:top w:w="0" w:type="dxa"/>
            <w:left w:w="0" w:type="dxa"/>
            <w:bottom w:w="0" w:type="dxa"/>
            <w:right w:w="0" w:type="dxa"/>
          </w:tblCellMar>
        </w:tblPrEx>
        <w:trPr>
          <w:trHeight w:val="214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69717">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A4E2B">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09905">
            <w:pPr>
              <w:jc w:val="center"/>
              <w:rPr>
                <w:rFonts w:hint="eastAsia" w:ascii="宋体" w:hAnsi="宋体" w:cs="宋体"/>
                <w:sz w:val="20"/>
                <w:szCs w:val="20"/>
              </w:rPr>
            </w:pP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0CC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劳资管控资源投入</w:t>
            </w:r>
          </w:p>
        </w:tc>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1BA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3E8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劳资专管员</w:t>
            </w:r>
            <w:r>
              <w:rPr>
                <w:rFonts w:hint="eastAsia" w:ascii="宋体" w:hAnsi="宋体" w:cs="宋体"/>
                <w:kern w:val="0"/>
                <w:sz w:val="20"/>
                <w:szCs w:val="20"/>
                <w:lang w:bidi="ar"/>
              </w:rPr>
              <w:br w:type="textWrapping"/>
            </w:r>
            <w:r>
              <w:rPr>
                <w:rFonts w:hint="eastAsia" w:ascii="宋体" w:hAnsi="宋体" w:cs="宋体"/>
                <w:kern w:val="0"/>
                <w:sz w:val="20"/>
                <w:szCs w:val="20"/>
                <w:lang w:bidi="ar"/>
              </w:rPr>
              <w:t>配备</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B59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2C9D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按照合同约定劳资专管员应掌握施工现场用工、考勤、工资发放等情况，对分包人劳动用工实施监督管理，审核分包人编制的工人工资支付表。</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根据用工、考勤、工资发放台账清晰度评判履约率。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2992F">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09C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9E5FBC2">
        <w:tblPrEx>
          <w:tblCellMar>
            <w:top w:w="0" w:type="dxa"/>
            <w:left w:w="0" w:type="dxa"/>
            <w:bottom w:w="0" w:type="dxa"/>
            <w:right w:w="0" w:type="dxa"/>
          </w:tblCellMar>
        </w:tblPrEx>
        <w:trPr>
          <w:trHeight w:val="178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CB0E6">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2A825">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DFCAD">
            <w:pPr>
              <w:jc w:val="center"/>
              <w:rPr>
                <w:rFonts w:hint="eastAsia" w:ascii="宋体" w:hAnsi="宋体" w:cs="宋体"/>
                <w:sz w:val="20"/>
                <w:szCs w:val="20"/>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3D1F2">
            <w:pPr>
              <w:jc w:val="center"/>
              <w:rPr>
                <w:rFonts w:hint="eastAsia" w:ascii="宋体" w:hAnsi="宋体" w:cs="宋体"/>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9CCB7">
            <w:pPr>
              <w:jc w:val="center"/>
              <w:rPr>
                <w:rFonts w:hint="eastAsia"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2B1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经济投入</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4A2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23EB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具有工人工资、分包商、材料设备供应商资金支付能力，未发生劳资纠纷。</w:t>
            </w:r>
            <w:r>
              <w:rPr>
                <w:rFonts w:hint="eastAsia" w:ascii="宋体" w:hAnsi="宋体" w:cs="宋体"/>
                <w:kern w:val="0"/>
                <w:sz w:val="20"/>
                <w:szCs w:val="20"/>
                <w:lang w:bidi="ar"/>
              </w:rPr>
              <w:br w:type="textWrapping"/>
            </w:r>
            <w:r>
              <w:rPr>
                <w:rFonts w:hint="eastAsia" w:ascii="宋体" w:hAnsi="宋体" w:cs="宋体"/>
                <w:kern w:val="0"/>
                <w:sz w:val="20"/>
                <w:szCs w:val="20"/>
                <w:lang w:bidi="ar"/>
              </w:rPr>
              <w:t>每发生一次因管理不当导致劳资纠纷引发群体信访事件的，降低履约率1个档次，履约率变0%为止。</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3D0A3">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206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4958C96">
        <w:tblPrEx>
          <w:tblCellMar>
            <w:top w:w="0" w:type="dxa"/>
            <w:left w:w="0" w:type="dxa"/>
            <w:bottom w:w="0" w:type="dxa"/>
            <w:right w:w="0" w:type="dxa"/>
          </w:tblCellMar>
        </w:tblPrEx>
        <w:trPr>
          <w:trHeight w:val="170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68221">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80958">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A72EB">
            <w:pPr>
              <w:jc w:val="center"/>
              <w:rPr>
                <w:rFonts w:hint="eastAsia" w:ascii="宋体" w:hAnsi="宋体" w:cs="宋体"/>
                <w:sz w:val="20"/>
                <w:szCs w:val="20"/>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430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机械设备、材料物资投入</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9F0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ACB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D94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B89C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按合同约定编制好材料和设备供应计划，并做好供应，确保机械设备、材料物资投入满足工程建设要求。</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根据供应编制情况与实际投入情况判定履约率。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5ABDE">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589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9FE23E5">
        <w:tblPrEx>
          <w:tblCellMar>
            <w:top w:w="0" w:type="dxa"/>
            <w:left w:w="0" w:type="dxa"/>
            <w:bottom w:w="0" w:type="dxa"/>
            <w:right w:w="0" w:type="dxa"/>
          </w:tblCellMar>
        </w:tblPrEx>
        <w:trPr>
          <w:trHeight w:val="208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1D34A">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FFEBA">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5FA73">
            <w:pPr>
              <w:jc w:val="center"/>
              <w:rPr>
                <w:rFonts w:hint="eastAsia" w:ascii="宋体" w:hAnsi="宋体" w:cs="宋体"/>
                <w:sz w:val="20"/>
                <w:szCs w:val="20"/>
              </w:rPr>
            </w:pPr>
          </w:p>
        </w:tc>
        <w:tc>
          <w:tcPr>
            <w:tcW w:w="7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2B0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劳动力投入</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B5A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D5C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EE4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D7FE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项目实施过程中实际劳动力投入与投标承诺一致，数量及时间满足现场实施需求。</w:t>
            </w:r>
            <w:r>
              <w:rPr>
                <w:rFonts w:hint="eastAsia" w:ascii="宋体" w:hAnsi="宋体" w:cs="宋体"/>
                <w:kern w:val="0"/>
                <w:sz w:val="20"/>
                <w:szCs w:val="20"/>
                <w:lang w:bidi="ar"/>
              </w:rPr>
              <w:br w:type="textWrapping"/>
            </w:r>
            <w:r>
              <w:rPr>
                <w:rFonts w:hint="eastAsia" w:ascii="宋体" w:hAnsi="宋体" w:cs="宋体"/>
                <w:kern w:val="0"/>
                <w:sz w:val="20"/>
                <w:szCs w:val="20"/>
                <w:lang w:bidi="ar"/>
              </w:rPr>
              <w:t>若与投标承诺不一致或投入的劳动力未能满足项目工期要求，导致工程进度推进缓慢，视情况判定履约率。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36FE3">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B0A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45485171">
        <w:tblPrEx>
          <w:tblCellMar>
            <w:top w:w="0" w:type="dxa"/>
            <w:left w:w="0" w:type="dxa"/>
            <w:bottom w:w="0" w:type="dxa"/>
            <w:right w:w="0" w:type="dxa"/>
          </w:tblCellMar>
        </w:tblPrEx>
        <w:trPr>
          <w:trHeight w:val="1700" w:hRule="atLeast"/>
        </w:trPr>
        <w:tc>
          <w:tcPr>
            <w:tcW w:w="5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31A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9F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安全文明施工管理（含环境保护）</w:t>
            </w:r>
          </w:p>
        </w:tc>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A51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04C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安全管理目标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C34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EBD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D80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D1EA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节点期内未发生安全事故，该项履约率判定为100%。</w:t>
            </w:r>
            <w:r>
              <w:rPr>
                <w:rFonts w:hint="eastAsia" w:ascii="宋体" w:hAnsi="宋体" w:cs="宋体"/>
                <w:kern w:val="0"/>
                <w:sz w:val="20"/>
                <w:szCs w:val="20"/>
                <w:lang w:bidi="ar"/>
              </w:rPr>
              <w:br w:type="textWrapping"/>
            </w:r>
            <w:r>
              <w:rPr>
                <w:rFonts w:hint="eastAsia" w:ascii="宋体" w:hAnsi="宋体" w:cs="宋体"/>
                <w:kern w:val="0"/>
                <w:sz w:val="20"/>
                <w:szCs w:val="20"/>
                <w:lang w:bidi="ar"/>
              </w:rPr>
              <w:t>发生一次安全事故，降低履约率1个档次，若发生一次亡人事故，该项履约率直接判定为0%。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8F334">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D29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DE85B29">
        <w:tblPrEx>
          <w:tblCellMar>
            <w:top w:w="0" w:type="dxa"/>
            <w:left w:w="0" w:type="dxa"/>
            <w:bottom w:w="0" w:type="dxa"/>
            <w:right w:w="0" w:type="dxa"/>
          </w:tblCellMar>
        </w:tblPrEx>
        <w:trPr>
          <w:trHeight w:val="162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9F1AA">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9C1EA">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93371">
            <w:pPr>
              <w:jc w:val="center"/>
              <w:rPr>
                <w:rFonts w:hint="eastAsia" w:ascii="宋体" w:hAnsi="宋体" w:cs="宋体"/>
                <w:sz w:val="20"/>
                <w:szCs w:val="20"/>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CD4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安全责任落实</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625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96A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F97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277A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能够按合同及责任书约定，建立健全安全生产责任制和安全生产教育培训制度，制定安全生产规章制度和操作规程，进行定期和专项安全检查并做好记录。</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CAB24">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97E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F0FD20C">
        <w:tblPrEx>
          <w:tblCellMar>
            <w:top w:w="0" w:type="dxa"/>
            <w:left w:w="0" w:type="dxa"/>
            <w:bottom w:w="0" w:type="dxa"/>
            <w:right w:w="0" w:type="dxa"/>
          </w:tblCellMar>
        </w:tblPrEx>
        <w:trPr>
          <w:trHeight w:val="564"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E6C82">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B2B21">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B911C">
            <w:pPr>
              <w:jc w:val="center"/>
              <w:rPr>
                <w:rFonts w:hint="eastAsia" w:ascii="宋体" w:hAnsi="宋体" w:cs="宋体"/>
                <w:sz w:val="20"/>
                <w:szCs w:val="20"/>
              </w:rPr>
            </w:pPr>
          </w:p>
        </w:tc>
        <w:tc>
          <w:tcPr>
            <w:tcW w:w="7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F4556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现场作业安全</w:t>
            </w:r>
            <w:r>
              <w:rPr>
                <w:rFonts w:hint="eastAsia" w:ascii="宋体" w:hAnsi="宋体" w:cs="宋体"/>
                <w:kern w:val="0"/>
                <w:sz w:val="20"/>
                <w:szCs w:val="20"/>
                <w:lang w:bidi="ar"/>
              </w:rPr>
              <w:br w:type="textWrapping"/>
            </w:r>
            <w:r>
              <w:rPr>
                <w:rFonts w:hint="eastAsia" w:ascii="宋体" w:hAnsi="宋体" w:cs="宋体"/>
                <w:kern w:val="0"/>
                <w:sz w:val="20"/>
                <w:szCs w:val="20"/>
                <w:lang w:bidi="ar"/>
              </w:rPr>
              <w:t>防护落实情况</w:t>
            </w:r>
          </w:p>
        </w:tc>
        <w:tc>
          <w:tcPr>
            <w:tcW w:w="7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6D7FB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16374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975D5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FF7EC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能够按合同约定及法律规定进行施工，开工前做好安全技术交底工作，施工过程中做好各项安全防护措施。</w:t>
            </w:r>
            <w:r>
              <w:rPr>
                <w:rFonts w:hint="eastAsia" w:ascii="宋体" w:hAnsi="宋体" w:cs="宋体"/>
                <w:kern w:val="0"/>
                <w:sz w:val="20"/>
                <w:szCs w:val="20"/>
                <w:lang w:bidi="ar"/>
              </w:rPr>
              <w:br w:type="textWrapping"/>
            </w:r>
            <w:r>
              <w:rPr>
                <w:rFonts w:hint="eastAsia" w:ascii="宋体" w:hAnsi="宋体" w:cs="宋体"/>
                <w:kern w:val="0"/>
                <w:sz w:val="20"/>
                <w:szCs w:val="20"/>
                <w:lang w:bidi="ar"/>
              </w:rPr>
              <w:t>因现场安全防护措施未落实到位被主管部门或建设单位处罚的，节点期内发生1次，降低履约率1个档次，履约率变0%为止。</w:t>
            </w:r>
          </w:p>
        </w:tc>
        <w:tc>
          <w:tcPr>
            <w:tcW w:w="7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C684594">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671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44D29CF8">
        <w:tblPrEx>
          <w:tblCellMar>
            <w:top w:w="0" w:type="dxa"/>
            <w:left w:w="0" w:type="dxa"/>
            <w:bottom w:w="0" w:type="dxa"/>
            <w:right w:w="0" w:type="dxa"/>
          </w:tblCellMar>
        </w:tblPrEx>
        <w:trPr>
          <w:trHeight w:val="200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A0B84">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92036">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C7D5341">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FD1D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安全文明施工</w:t>
            </w:r>
            <w:r>
              <w:rPr>
                <w:rFonts w:hint="eastAsia" w:ascii="宋体" w:hAnsi="宋体" w:cs="宋体"/>
                <w:kern w:val="0"/>
                <w:sz w:val="20"/>
                <w:szCs w:val="20"/>
                <w:lang w:bidi="ar"/>
              </w:rPr>
              <w:br w:type="textWrapping"/>
            </w:r>
            <w:r>
              <w:rPr>
                <w:rFonts w:hint="eastAsia" w:ascii="宋体" w:hAnsi="宋体" w:cs="宋体"/>
                <w:kern w:val="0"/>
                <w:sz w:val="20"/>
                <w:szCs w:val="20"/>
                <w:lang w:bidi="ar"/>
              </w:rPr>
              <w:t>措施落实情况</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3E02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CCD0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3DA6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B088F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能够按合同及相关规定落实临时设施、安全施工、文明施工、环境保护（水土保持、扬尘防治等）各项安全文明施工措施。</w:t>
            </w:r>
            <w:r>
              <w:rPr>
                <w:rFonts w:hint="eastAsia" w:ascii="宋体" w:hAnsi="宋体" w:cs="宋体"/>
                <w:kern w:val="0"/>
                <w:sz w:val="20"/>
                <w:szCs w:val="20"/>
                <w:lang w:bidi="ar"/>
              </w:rPr>
              <w:br w:type="textWrapping"/>
            </w:r>
            <w:r>
              <w:rPr>
                <w:rFonts w:hint="eastAsia" w:ascii="宋体" w:hAnsi="宋体" w:cs="宋体"/>
                <w:kern w:val="0"/>
                <w:sz w:val="20"/>
                <w:szCs w:val="20"/>
                <w:lang w:bidi="ar"/>
              </w:rPr>
              <w:t>若任1项被主管部门或建设单位处罚的，节点期内每发生1次，降低履约率1个档次，履约率变0%为止。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651204">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7302D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00EC47D1">
        <w:tblPrEx>
          <w:tblCellMar>
            <w:top w:w="0" w:type="dxa"/>
            <w:left w:w="0" w:type="dxa"/>
            <w:bottom w:w="0" w:type="dxa"/>
            <w:right w:w="0" w:type="dxa"/>
          </w:tblCellMar>
        </w:tblPrEx>
        <w:trPr>
          <w:trHeight w:val="1100" w:hRule="atLeast"/>
        </w:trPr>
        <w:tc>
          <w:tcPr>
            <w:tcW w:w="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CDE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D17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质量管理</w:t>
            </w:r>
          </w:p>
        </w:tc>
        <w:tc>
          <w:tcPr>
            <w:tcW w:w="702"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BA998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D31B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质量管理目标</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C847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D4F4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84C3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3687C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能够建立质量完善的安全保证体系。</w:t>
            </w:r>
            <w:r>
              <w:rPr>
                <w:rFonts w:hint="eastAsia" w:ascii="宋体" w:hAnsi="宋体" w:cs="宋体"/>
                <w:kern w:val="0"/>
                <w:sz w:val="20"/>
                <w:szCs w:val="20"/>
                <w:lang w:bidi="ar"/>
              </w:rPr>
              <w:br w:type="textWrapping"/>
            </w:r>
            <w:r>
              <w:rPr>
                <w:rFonts w:hint="eastAsia" w:ascii="宋体" w:hAnsi="宋体" w:cs="宋体"/>
                <w:kern w:val="0"/>
                <w:sz w:val="20"/>
                <w:szCs w:val="20"/>
                <w:lang w:bidi="ar"/>
              </w:rPr>
              <w:t>节点期内没发生重大、特大工程质量事故，若发生1次，该项履约率直接判定为0%。</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8F2E85">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2E20D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6B2437F">
        <w:tblPrEx>
          <w:tblCellMar>
            <w:top w:w="0" w:type="dxa"/>
            <w:left w:w="0" w:type="dxa"/>
            <w:bottom w:w="0" w:type="dxa"/>
            <w:right w:w="0" w:type="dxa"/>
          </w:tblCellMar>
        </w:tblPrEx>
        <w:trPr>
          <w:trHeight w:val="216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601F9">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EB27B">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0303040">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9E29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检测实验</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B058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ECC1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8F64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91BE1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合同约定和检测规程对隐蔽工程、防水等进行检测，提供和组织足够的工程质量控制和检测人员，检查和控制工程施工质量，对涉及结构安全的试块、试件以及有关材料，实行见证取样送检，检测数据和检测结果真实准确。根据检测工作开展情况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E9856">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2A7A6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42C89AC4">
        <w:tblPrEx>
          <w:tblCellMar>
            <w:top w:w="0" w:type="dxa"/>
            <w:left w:w="0" w:type="dxa"/>
            <w:bottom w:w="0" w:type="dxa"/>
            <w:right w:w="0" w:type="dxa"/>
          </w:tblCellMar>
        </w:tblPrEx>
        <w:trPr>
          <w:trHeight w:val="212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2A325">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60F99">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6D2C51E">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D7B5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竣工验收</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9CC0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74CE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F171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1E31D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根据节点期所处工程阶段，开展的分部分项验收、专项验收、竣工验收等验收通过；工程实施质量符合合同要求。</w:t>
            </w:r>
            <w:r>
              <w:rPr>
                <w:rFonts w:hint="eastAsia" w:ascii="宋体" w:hAnsi="宋体" w:cs="宋体"/>
                <w:kern w:val="0"/>
                <w:sz w:val="20"/>
                <w:szCs w:val="20"/>
                <w:lang w:bidi="ar"/>
              </w:rPr>
              <w:br w:type="textWrapping"/>
            </w:r>
            <w:r>
              <w:rPr>
                <w:rFonts w:hint="eastAsia" w:ascii="宋体" w:hAnsi="宋体" w:cs="宋体"/>
                <w:kern w:val="0"/>
                <w:sz w:val="20"/>
                <w:szCs w:val="20"/>
                <w:lang w:bidi="ar"/>
              </w:rPr>
              <w:t>若发现一处验收不合格且未限期完成整改的，履约率降低1个档次，直至履约率变0%为止。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4D45FC">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132D1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055D5D8">
        <w:tblPrEx>
          <w:tblCellMar>
            <w:top w:w="0" w:type="dxa"/>
            <w:left w:w="0" w:type="dxa"/>
            <w:bottom w:w="0" w:type="dxa"/>
            <w:right w:w="0" w:type="dxa"/>
          </w:tblCellMar>
        </w:tblPrEx>
        <w:trPr>
          <w:trHeight w:val="196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1C688">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C3662">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344603B">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E2B6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质量保修</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1DF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1BC9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4B61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0CC5D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能够按照施工合同约定的质量缺陷保修范围和相应的保修期，在约定期限内派人维修，直到达到合格的质量标准。</w:t>
            </w:r>
            <w:r>
              <w:rPr>
                <w:rFonts w:hint="eastAsia" w:ascii="宋体" w:hAnsi="宋体" w:cs="宋体"/>
                <w:kern w:val="0"/>
                <w:sz w:val="20"/>
                <w:szCs w:val="20"/>
                <w:lang w:bidi="ar"/>
              </w:rPr>
              <w:br w:type="textWrapping"/>
            </w:r>
            <w:r>
              <w:rPr>
                <w:rFonts w:hint="eastAsia" w:ascii="宋体" w:hAnsi="宋体" w:cs="宋体"/>
                <w:kern w:val="0"/>
                <w:sz w:val="20"/>
                <w:szCs w:val="20"/>
                <w:lang w:bidi="ar"/>
              </w:rPr>
              <w:t>未按约定期限派人维修的，逾期1天，降低履约率1个档次，直至履约率变0%为止。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52D9FA">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915D0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E027C32">
        <w:tblPrEx>
          <w:tblCellMar>
            <w:top w:w="0" w:type="dxa"/>
            <w:left w:w="0" w:type="dxa"/>
            <w:bottom w:w="0" w:type="dxa"/>
            <w:right w:w="0" w:type="dxa"/>
          </w:tblCellMar>
        </w:tblPrEx>
        <w:trPr>
          <w:trHeight w:val="1700" w:hRule="atLeast"/>
        </w:trPr>
        <w:tc>
          <w:tcPr>
            <w:tcW w:w="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2CB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四</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0EF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工期进度管理</w:t>
            </w:r>
          </w:p>
        </w:tc>
        <w:tc>
          <w:tcPr>
            <w:tcW w:w="702"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75265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0102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进度计划编制与执行</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269C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8DAE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8063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6EA20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能够按合同约定的工作内容和施工进度要求，编制施工组织设计和施工措施计划，并按工期进度计划执行。</w:t>
            </w:r>
            <w:r>
              <w:rPr>
                <w:rFonts w:hint="eastAsia" w:ascii="宋体" w:hAnsi="宋体" w:cs="宋体"/>
                <w:kern w:val="0"/>
                <w:sz w:val="20"/>
                <w:szCs w:val="20"/>
                <w:lang w:bidi="ar"/>
              </w:rPr>
              <w:br w:type="textWrapping"/>
            </w:r>
            <w:r>
              <w:rPr>
                <w:rFonts w:hint="eastAsia" w:ascii="宋体" w:hAnsi="宋体" w:cs="宋体"/>
                <w:kern w:val="0"/>
                <w:sz w:val="20"/>
                <w:szCs w:val="20"/>
                <w:lang w:bidi="ar"/>
              </w:rPr>
              <w:t>对照每月预计完成的工作量和形象进度判定履约率。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07C43C">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5CA37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AB2A115">
        <w:tblPrEx>
          <w:tblCellMar>
            <w:top w:w="0" w:type="dxa"/>
            <w:left w:w="0" w:type="dxa"/>
            <w:bottom w:w="0" w:type="dxa"/>
            <w:right w:w="0" w:type="dxa"/>
          </w:tblCellMar>
        </w:tblPrEx>
        <w:trPr>
          <w:trHeight w:val="148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DEB1E">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885F3">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D621E40">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E51F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进度定期报告</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3A7D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2C65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D9A7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84809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能够按合同约定，在项目实施过程中</w:t>
            </w:r>
            <w:r>
              <w:rPr>
                <w:rFonts w:hint="eastAsia" w:ascii="宋体" w:hAnsi="宋体" w:cs="宋体"/>
                <w:kern w:val="0"/>
                <w:sz w:val="20"/>
                <w:szCs w:val="20"/>
                <w:lang w:eastAsia="zh-CN" w:bidi="ar"/>
              </w:rPr>
              <w:t>，</w:t>
            </w:r>
            <w:r>
              <w:rPr>
                <w:rFonts w:hint="eastAsia" w:ascii="宋体" w:hAnsi="宋体" w:cs="宋体"/>
                <w:kern w:val="0"/>
                <w:sz w:val="20"/>
                <w:szCs w:val="20"/>
                <w:lang w:bidi="ar"/>
              </w:rPr>
              <w:t>进行实际进度记录，并根据监理人的要求定期编制进度报告。</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根据定期报告制度落实情况判定履约率。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8B7E3C">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CA034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14AFA46">
        <w:tblPrEx>
          <w:tblCellMar>
            <w:top w:w="0" w:type="dxa"/>
            <w:left w:w="0" w:type="dxa"/>
            <w:bottom w:w="0" w:type="dxa"/>
            <w:right w:w="0" w:type="dxa"/>
          </w:tblCellMar>
        </w:tblPrEx>
        <w:trPr>
          <w:trHeight w:val="182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52A8B">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6717B">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DB28E02">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328F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工程进度款管理</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2EC7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868B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5019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EB42D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能够按工程进度合理使用工程款，优先支付农民工工资。</w:t>
            </w:r>
            <w:r>
              <w:rPr>
                <w:rFonts w:hint="eastAsia" w:ascii="宋体" w:hAnsi="宋体" w:cs="宋体"/>
                <w:kern w:val="0"/>
                <w:sz w:val="20"/>
                <w:szCs w:val="20"/>
                <w:lang w:bidi="ar"/>
              </w:rPr>
              <w:br w:type="textWrapping"/>
            </w:r>
            <w:r>
              <w:rPr>
                <w:rFonts w:hint="eastAsia" w:ascii="宋体" w:hAnsi="宋体" w:cs="宋体"/>
                <w:kern w:val="0"/>
                <w:sz w:val="20"/>
                <w:szCs w:val="20"/>
                <w:lang w:bidi="ar"/>
              </w:rPr>
              <w:t>因未合理利用工程款及时发放农民工工资引发劳资纠纷信访事件的，发生1次降低履约率1个档次，直至履约率变0%为止。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8AC196">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F9E70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65707EA">
        <w:tblPrEx>
          <w:tblCellMar>
            <w:top w:w="0" w:type="dxa"/>
            <w:left w:w="0" w:type="dxa"/>
            <w:bottom w:w="0" w:type="dxa"/>
            <w:right w:w="0" w:type="dxa"/>
          </w:tblCellMar>
        </w:tblPrEx>
        <w:trPr>
          <w:trHeight w:val="168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E8410">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2E8C8">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A3DC78E">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4B90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工期进度结果</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FE04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A856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E5FD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994BA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能够按合同约定完成关键节点，竣工验收、项目移交节点符合合同约定。</w:t>
            </w:r>
            <w:r>
              <w:rPr>
                <w:rFonts w:hint="eastAsia" w:ascii="宋体" w:hAnsi="宋体" w:cs="宋体"/>
                <w:kern w:val="0"/>
                <w:sz w:val="20"/>
                <w:szCs w:val="20"/>
                <w:lang w:bidi="ar"/>
              </w:rPr>
              <w:br w:type="textWrapping"/>
            </w:r>
            <w:r>
              <w:rPr>
                <w:rFonts w:hint="eastAsia" w:ascii="宋体" w:hAnsi="宋体" w:cs="宋体"/>
                <w:kern w:val="0"/>
                <w:sz w:val="20"/>
                <w:szCs w:val="20"/>
                <w:lang w:bidi="ar"/>
              </w:rPr>
              <w:t>对于关键节点逾期未能按时移交的，视进度情况判定履约率。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EC1AC3">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5B9F9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552F3F5">
        <w:tblPrEx>
          <w:tblCellMar>
            <w:top w:w="0" w:type="dxa"/>
            <w:left w:w="0" w:type="dxa"/>
            <w:bottom w:w="0" w:type="dxa"/>
            <w:right w:w="0" w:type="dxa"/>
          </w:tblCellMar>
        </w:tblPrEx>
        <w:trPr>
          <w:trHeight w:val="2040" w:hRule="atLeast"/>
        </w:trPr>
        <w:tc>
          <w:tcPr>
            <w:tcW w:w="5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C13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五</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EF2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合约造价管理</w:t>
            </w:r>
          </w:p>
        </w:tc>
        <w:tc>
          <w:tcPr>
            <w:tcW w:w="702"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2CB36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06CB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工程造价总体</w:t>
            </w:r>
            <w:r>
              <w:rPr>
                <w:rFonts w:hint="eastAsia" w:ascii="宋体" w:hAnsi="宋体" w:cs="宋体"/>
                <w:kern w:val="0"/>
                <w:sz w:val="20"/>
                <w:szCs w:val="20"/>
                <w:lang w:bidi="ar"/>
              </w:rPr>
              <w:br w:type="textWrapping"/>
            </w:r>
            <w:r>
              <w:rPr>
                <w:rFonts w:hint="eastAsia" w:ascii="宋体" w:hAnsi="宋体" w:cs="宋体"/>
                <w:kern w:val="0"/>
                <w:sz w:val="20"/>
                <w:szCs w:val="20"/>
                <w:lang w:bidi="ar"/>
              </w:rPr>
              <w:t>管控目标</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7F4F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D02C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CADE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00048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能够严格落实造价控制原则，变更实施严格按估算控制概算、概算控制预算、预算控制结算的原则予以控制。</w:t>
            </w:r>
            <w:r>
              <w:rPr>
                <w:rFonts w:hint="eastAsia" w:ascii="宋体" w:hAnsi="宋体" w:cs="宋体"/>
                <w:kern w:val="0"/>
                <w:sz w:val="20"/>
                <w:szCs w:val="20"/>
                <w:lang w:bidi="ar"/>
              </w:rPr>
              <w:br w:type="textWrapping"/>
            </w:r>
            <w:r>
              <w:rPr>
                <w:rFonts w:hint="eastAsia" w:ascii="宋体" w:hAnsi="宋体" w:cs="宋体"/>
                <w:kern w:val="0"/>
                <w:sz w:val="20"/>
                <w:szCs w:val="20"/>
                <w:lang w:bidi="ar"/>
              </w:rPr>
              <w:t>因承包人自身原因导致工程造价增加的，节点期内每增加5%，降低履约率1个档次，直至履约率变0%为止。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50D2A7">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6D11E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2AB44CF">
        <w:tblPrEx>
          <w:tblCellMar>
            <w:top w:w="0" w:type="dxa"/>
            <w:left w:w="0" w:type="dxa"/>
            <w:bottom w:w="0" w:type="dxa"/>
            <w:right w:w="0" w:type="dxa"/>
          </w:tblCellMar>
        </w:tblPrEx>
        <w:trPr>
          <w:trHeight w:val="288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E647C">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48B2E">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52D8B7F">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D2D8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工程变更管理</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5E58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25CF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78BB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5F211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能够按合同约定及相关规定，工程变更均按变更造价进行分级管理，并在规定的时间内按照相关变更管理程序和指定的格式将工程变更工程量及变更价款报告发包人。</w:t>
            </w:r>
            <w:r>
              <w:rPr>
                <w:rFonts w:hint="eastAsia" w:ascii="宋体" w:hAnsi="宋体" w:cs="宋体"/>
                <w:kern w:val="0"/>
                <w:sz w:val="20"/>
                <w:szCs w:val="20"/>
                <w:lang w:bidi="ar"/>
              </w:rPr>
              <w:br w:type="textWrapping"/>
            </w:r>
            <w:r>
              <w:rPr>
                <w:rFonts w:hint="eastAsia" w:ascii="宋体" w:hAnsi="宋体" w:cs="宋体"/>
                <w:kern w:val="0"/>
                <w:sz w:val="20"/>
                <w:szCs w:val="20"/>
                <w:lang w:bidi="ar"/>
              </w:rPr>
              <w:t>节点期内对增加或减少工程造价的变更，如未在合同规定的时间内申报的，履约率降低一个档次；若存在未经发包人书面同意的变更项目，承包人擅自实施的，履约率直接判定0%。</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2B1894">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CBE02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69EAFE48">
        <w:tblPrEx>
          <w:tblCellMar>
            <w:top w:w="0" w:type="dxa"/>
            <w:left w:w="0" w:type="dxa"/>
            <w:bottom w:w="0" w:type="dxa"/>
            <w:right w:w="0" w:type="dxa"/>
          </w:tblCellMar>
        </w:tblPrEx>
        <w:trPr>
          <w:trHeight w:val="156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ABAF5">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3DB44">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5AF1984">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999B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工程计量管理</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847A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772B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26BD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0F2445">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能够执行合同约定的价格及计价方式，严格落实工程量计量程序，确保工程计量真实准确。</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根据节点期内工程计量程序执行情况判定履约率。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5D13AA">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06F25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79917CC">
        <w:tblPrEx>
          <w:tblCellMar>
            <w:top w:w="0" w:type="dxa"/>
            <w:left w:w="0" w:type="dxa"/>
            <w:bottom w:w="0" w:type="dxa"/>
            <w:right w:w="0" w:type="dxa"/>
          </w:tblCellMar>
        </w:tblPrEx>
        <w:trPr>
          <w:trHeight w:val="326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62F62">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3C13F">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F774B5F">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58ED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工程结算管控</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77F3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1DAD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9F12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D4ECA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能够主动办理合同结算，在合同工程通过竣工验收后30天内，按照合同及发包人的有关要求编报本合同结算，提交合同结算有关资料并配合发包人完成结算审核及评审（审计）。</w:t>
            </w:r>
            <w:r>
              <w:rPr>
                <w:rFonts w:hint="eastAsia" w:ascii="宋体" w:hAnsi="宋体" w:cs="宋体"/>
                <w:kern w:val="0"/>
                <w:sz w:val="20"/>
                <w:szCs w:val="20"/>
                <w:lang w:bidi="ar"/>
              </w:rPr>
              <w:br w:type="textWrapping"/>
            </w:r>
            <w:r>
              <w:rPr>
                <w:rFonts w:hint="eastAsia" w:ascii="宋体" w:hAnsi="宋体" w:cs="宋体"/>
                <w:kern w:val="0"/>
                <w:sz w:val="20"/>
                <w:szCs w:val="20"/>
                <w:lang w:bidi="ar"/>
              </w:rPr>
              <w:t>若承包人不按上述规定时间报送结算，发包人可对承包人发催报书面通知，在通知规定期限内仍不报送结算的，或不配合发包人完成结算审核及评审（审计）的，逾期1天履约率降低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B4F7CB">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C387D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0B26546">
        <w:tblPrEx>
          <w:tblCellMar>
            <w:top w:w="0" w:type="dxa"/>
            <w:left w:w="0" w:type="dxa"/>
            <w:bottom w:w="0" w:type="dxa"/>
            <w:right w:w="0" w:type="dxa"/>
          </w:tblCellMar>
        </w:tblPrEx>
        <w:trPr>
          <w:trHeight w:val="1240" w:hRule="atLeast"/>
        </w:trPr>
        <w:tc>
          <w:tcPr>
            <w:tcW w:w="52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0B72B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六</w:t>
            </w:r>
          </w:p>
        </w:tc>
        <w:tc>
          <w:tcPr>
            <w:tcW w:w="70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A0346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配合与协调</w:t>
            </w:r>
          </w:p>
        </w:tc>
        <w:tc>
          <w:tcPr>
            <w:tcW w:w="702" w:type="dxa"/>
            <w:vMerge w:val="restart"/>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5024A5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67C3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廉政责任落实</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A8E9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74C8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76BB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D44E8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按照签订的《投标人廉政责任承诺书》、《建设工程廉政责任合同》落实，若任一条款未落实的，履约率均被判定0%。</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70159C">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50CEB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F94B49E">
        <w:tblPrEx>
          <w:tblCellMar>
            <w:top w:w="0" w:type="dxa"/>
            <w:left w:w="0" w:type="dxa"/>
            <w:bottom w:w="0" w:type="dxa"/>
            <w:right w:w="0" w:type="dxa"/>
          </w:tblCellMar>
        </w:tblPrEx>
        <w:trPr>
          <w:trHeight w:val="1100" w:hRule="atLeast"/>
        </w:trPr>
        <w:tc>
          <w:tcPr>
            <w:tcW w:w="5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F9B4AB6">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503E3D">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178EDE36">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B275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产值申报配合度</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42CE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A44A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0944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ABFD5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如实申报产值，积极主动配合申报概算及产值。</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根据配合度判定履约率。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998E59">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7047E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17ACFF9">
        <w:tblPrEx>
          <w:tblCellMar>
            <w:top w:w="0" w:type="dxa"/>
            <w:left w:w="0" w:type="dxa"/>
            <w:bottom w:w="0" w:type="dxa"/>
            <w:right w:w="0" w:type="dxa"/>
          </w:tblCellMar>
        </w:tblPrEx>
        <w:trPr>
          <w:trHeight w:val="1200" w:hRule="atLeast"/>
        </w:trPr>
        <w:tc>
          <w:tcPr>
            <w:tcW w:w="5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E0CA537">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EC1357D">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3BA735F4">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3E5E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配合协调情况</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5208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505F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8086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08E32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配合发包人日常工作，与外部单位、周边关系协调。</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根据配合度判定履约率。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2B11B">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2F247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08F0E8E4">
        <w:tblPrEx>
          <w:tblCellMar>
            <w:top w:w="0" w:type="dxa"/>
            <w:left w:w="0" w:type="dxa"/>
            <w:bottom w:w="0" w:type="dxa"/>
            <w:right w:w="0" w:type="dxa"/>
          </w:tblCellMar>
        </w:tblPrEx>
        <w:trPr>
          <w:trHeight w:val="1340" w:hRule="atLeast"/>
        </w:trPr>
        <w:tc>
          <w:tcPr>
            <w:tcW w:w="5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760E8E">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91C53C0">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7DB5DD46">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EAC0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资料（档案）</w:t>
            </w:r>
            <w:r>
              <w:rPr>
                <w:rFonts w:hint="eastAsia" w:ascii="宋体" w:hAnsi="宋体" w:cs="宋体"/>
                <w:kern w:val="0"/>
                <w:sz w:val="20"/>
                <w:szCs w:val="20"/>
                <w:lang w:bidi="ar"/>
              </w:rPr>
              <w:br w:type="textWrapping"/>
            </w:r>
            <w:r>
              <w:rPr>
                <w:rFonts w:hint="eastAsia" w:ascii="宋体" w:hAnsi="宋体" w:cs="宋体"/>
                <w:kern w:val="0"/>
                <w:sz w:val="20"/>
                <w:szCs w:val="20"/>
                <w:lang w:bidi="ar"/>
              </w:rPr>
              <w:t>管理</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35F8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6992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421E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93F6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积极配合日常资料管理工作，按时完成档案移交。</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根据资料完整性及移交效率判定履约率。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69F409">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49BE8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450E23C">
        <w:tblPrEx>
          <w:tblCellMar>
            <w:top w:w="0" w:type="dxa"/>
            <w:left w:w="0" w:type="dxa"/>
            <w:bottom w:w="0" w:type="dxa"/>
            <w:right w:w="0" w:type="dxa"/>
          </w:tblCellMar>
        </w:tblPrEx>
        <w:trPr>
          <w:trHeight w:val="1340" w:hRule="atLeast"/>
        </w:trPr>
        <w:tc>
          <w:tcPr>
            <w:tcW w:w="272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2A28D2">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总分</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CA1EDF">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100</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6EE77E">
            <w:pPr>
              <w:jc w:val="center"/>
              <w:rPr>
                <w:rFonts w:hint="eastAsia" w:ascii="黑体" w:hAnsi="宋体" w:eastAsia="黑体" w:cs="黑体"/>
                <w:sz w:val="20"/>
                <w:szCs w:val="20"/>
              </w:rPr>
            </w:pP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C64073">
            <w:pPr>
              <w:jc w:val="left"/>
              <w:rPr>
                <w:rFonts w:hint="eastAsia" w:ascii="黑体" w:hAnsi="宋体" w:eastAsia="黑体" w:cs="黑体"/>
                <w:sz w:val="20"/>
                <w:szCs w:val="20"/>
              </w:rPr>
            </w:pPr>
          </w:p>
        </w:tc>
        <w:tc>
          <w:tcPr>
            <w:tcW w:w="354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E27A0C">
            <w:pPr>
              <w:widowControl/>
              <w:jc w:val="left"/>
              <w:textAlignment w:val="center"/>
              <w:rPr>
                <w:rFonts w:hint="eastAsia" w:ascii="黑体" w:hAnsi="宋体" w:eastAsia="黑体" w:cs="黑体"/>
                <w:sz w:val="20"/>
                <w:szCs w:val="20"/>
              </w:rPr>
            </w:pPr>
            <w:r>
              <w:rPr>
                <w:rFonts w:hint="eastAsia" w:ascii="黑体" w:hAnsi="宋体" w:eastAsia="黑体" w:cs="黑体"/>
                <w:kern w:val="0"/>
                <w:sz w:val="20"/>
                <w:szCs w:val="20"/>
                <w:lang w:bidi="ar"/>
              </w:rPr>
              <w:t>单项二级实际得分=二级指标履约率×指标权重分值；</w:t>
            </w:r>
            <w:r>
              <w:rPr>
                <w:rFonts w:hint="eastAsia" w:ascii="黑体" w:hAnsi="宋体" w:eastAsia="黑体" w:cs="黑体"/>
                <w:kern w:val="0"/>
                <w:sz w:val="20"/>
                <w:szCs w:val="20"/>
                <w:lang w:bidi="ar"/>
              </w:rPr>
              <w:br w:type="textWrapping"/>
            </w:r>
            <w:r>
              <w:rPr>
                <w:rFonts w:hint="eastAsia" w:ascii="黑体" w:hAnsi="宋体" w:eastAsia="黑体" w:cs="黑体"/>
                <w:kern w:val="0"/>
                <w:sz w:val="20"/>
                <w:szCs w:val="20"/>
                <w:lang w:bidi="ar"/>
              </w:rPr>
              <w:t>最终得分=∑各二级指标实际得分/∑各二级指标权重分值×100</w:t>
            </w: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B8FE75A">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0</w:t>
            </w:r>
          </w:p>
        </w:tc>
      </w:tr>
    </w:tbl>
    <w:p w14:paraId="512DFE18"/>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A5B7D"/>
    <w:rsid w:val="0F0A5B7D"/>
    <w:rsid w:val="1E6766C5"/>
    <w:rsid w:val="22EE45DF"/>
    <w:rsid w:val="3357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line="520" w:lineRule="exact"/>
      <w:ind w:firstLine="1285" w:firstLineChars="400"/>
      <w:jc w:val="left"/>
      <w:pPrChange w:id="0" w:author="磊 俞" w:date="2024-05-09T16:08:00Z">
        <w:pPr>
          <w:widowControl w:val="0"/>
          <w:jc w:val="both"/>
        </w:pPr>
      </w:pPrChange>
    </w:pPr>
    <w:rPr>
      <w:rFonts w:ascii="宋体" w:hAnsi="Courier New"/>
      <w:szCs w:val="21"/>
      <w:rPrChange w:id="1" w:author="磊 俞" w:date="2024-05-09T16:08:00Z">
        <w:rPr>
          <w:rFonts w:ascii="宋体" w:hAnsi="Courier New" w:eastAsia="宋体"/>
          <w:kern w:val="2"/>
          <w:sz w:val="21"/>
          <w:szCs w:val="21"/>
          <w:lang w:val="en-US" w:eastAsia="zh-CN" w:bidi="ar-SA"/>
        </w:rPr>
      </w:rPrChange>
    </w:rPr>
  </w:style>
  <w:style w:type="paragraph" w:styleId="3">
    <w:name w:val="index 8"/>
    <w:basedOn w:val="1"/>
    <w:next w:val="1"/>
    <w:qFormat/>
    <w:uiPriority w:val="0"/>
    <w:pPr>
      <w:ind w:left="1400" w:leftChars="1400"/>
    </w:pPr>
    <w:rPr>
      <w:rFonts w:ascii="Times New Roman" w:hAnsi="Times New Roman"/>
      <w:szCs w:val="24"/>
    </w:rPr>
  </w:style>
  <w:style w:type="paragraph" w:styleId="4">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customStyle="1" w:styleId="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Normal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2025-05-15T03:56:00Z</dcterms:created>
  <dc:creator>實誠</dc:creator>
  <cp:lastModifiedBy>實誠</cp:lastModifiedBy>
  <dcterms:modified xsi:type="dcterms:W3CDTF">2025-05-15T04:02:00Z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3F90BE9AAD084E86A9B4B400CE8434DC_13</vt:lpwstr>
  </property>
  <property fmtid="{D5CDD505-2E9C-101B-9397-08002B2CF9AE}" pid="4" name="KSOTemplateDocerSaveRecord">
    <vt:lpwstr>eyJoZGlkIjoiZjYxZTUyYjc1MzQwNWRmNjlmMWQyYmQ2NmM1M2U4MmMiLCJ1c2VySWQiOiI2OTk3NTA5NDAifQ==</vt:lpwstr>
  </property>
</Properties>
</file>