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330F6">
      <w:pPr>
        <w:rPr>
          <w:highlight w:val="none"/>
        </w:rPr>
      </w:pPr>
    </w:p>
    <w:p w14:paraId="1742F132">
      <w:pPr>
        <w:spacing w:line="360" w:lineRule="auto"/>
        <w:jc w:val="center"/>
        <w:rPr>
          <w:rFonts w:ascii="宋体" w:hAnsi="宋体"/>
          <w:b/>
          <w:sz w:val="48"/>
          <w:szCs w:val="48"/>
          <w:highlight w:val="none"/>
        </w:rPr>
      </w:pPr>
    </w:p>
    <w:p w14:paraId="5DEB9ED9">
      <w:pPr>
        <w:spacing w:beforeLines="50" w:afterLines="100" w:line="360" w:lineRule="auto"/>
        <w:jc w:val="center"/>
        <w:rPr>
          <w:rFonts w:hint="default" w:ascii="宋体" w:hAnsi="宋体" w:eastAsia="宋体"/>
          <w:b/>
          <w:sz w:val="72"/>
          <w:szCs w:val="72"/>
          <w:highlight w:val="none"/>
          <w:lang w:val="en-US" w:eastAsia="zh-CN"/>
        </w:rPr>
      </w:pPr>
      <w:r>
        <w:rPr>
          <w:rFonts w:hint="eastAsia" w:ascii="宋体" w:hAnsi="宋体" w:cs="Times New Roman"/>
          <w:b/>
          <w:kern w:val="2"/>
          <w:sz w:val="44"/>
          <w:szCs w:val="44"/>
          <w:highlight w:val="none"/>
          <w:lang w:val="en-US" w:eastAsia="zh-CN" w:bidi="ar-SA"/>
        </w:rPr>
        <w:t>第三方工程质量评估服务合同（二次）</w:t>
      </w:r>
    </w:p>
    <w:p w14:paraId="25D4444B">
      <w:pPr>
        <w:pStyle w:val="30"/>
        <w:jc w:val="center"/>
        <w:rPr>
          <w:rFonts w:hint="default" w:ascii="宋体" w:hAnsi="宋体" w:eastAsia="宋体" w:cs="Times New Roman"/>
          <w:b/>
          <w:kern w:val="2"/>
          <w:sz w:val="44"/>
          <w:szCs w:val="44"/>
          <w:highlight w:val="none"/>
          <w:lang w:val="en-US" w:eastAsia="zh-CN" w:bidi="ar-SA"/>
        </w:rPr>
      </w:pPr>
    </w:p>
    <w:p w14:paraId="737BE2E2">
      <w:pPr>
        <w:pStyle w:val="16"/>
        <w:rPr>
          <w:rFonts w:hint="eastAsia"/>
          <w:lang w:val="en-US" w:eastAsia="zh-CN"/>
        </w:rPr>
      </w:pPr>
    </w:p>
    <w:p w14:paraId="124E4EAE">
      <w:pPr>
        <w:spacing w:beforeLines="50" w:afterLines="100" w:line="360" w:lineRule="auto"/>
        <w:jc w:val="center"/>
        <w:rPr>
          <w:rFonts w:hint="eastAsia" w:ascii="宋体" w:hAnsi="宋体"/>
          <w:b/>
          <w:sz w:val="72"/>
          <w:szCs w:val="72"/>
          <w:highlight w:val="none"/>
        </w:rPr>
      </w:pPr>
    </w:p>
    <w:p w14:paraId="57792076">
      <w:pPr>
        <w:spacing w:beforeLines="50" w:afterLines="100" w:line="360" w:lineRule="auto"/>
        <w:jc w:val="center"/>
        <w:rPr>
          <w:rFonts w:hint="eastAsia" w:ascii="宋体" w:hAnsi="宋体"/>
          <w:b/>
          <w:sz w:val="72"/>
          <w:szCs w:val="72"/>
          <w:highlight w:val="none"/>
        </w:rPr>
      </w:pPr>
      <w:r>
        <w:rPr>
          <w:rFonts w:hint="eastAsia" w:ascii="宋体" w:hAnsi="宋体"/>
          <w:b/>
          <w:sz w:val="72"/>
          <w:szCs w:val="72"/>
          <w:highlight w:val="none"/>
        </w:rPr>
        <w:t>公开招标（自主）文件</w:t>
      </w:r>
    </w:p>
    <w:p w14:paraId="1C3644D4">
      <w:pPr>
        <w:spacing w:line="360" w:lineRule="auto"/>
        <w:jc w:val="center"/>
        <w:rPr>
          <w:rFonts w:ascii="宋体" w:hAnsi="宋体"/>
          <w:b/>
          <w:sz w:val="32"/>
          <w:szCs w:val="32"/>
          <w:highlight w:val="none"/>
        </w:rPr>
      </w:pPr>
    </w:p>
    <w:p w14:paraId="292D796D">
      <w:pPr>
        <w:spacing w:line="360" w:lineRule="auto"/>
        <w:jc w:val="center"/>
        <w:rPr>
          <w:rFonts w:ascii="宋体" w:hAnsi="宋体"/>
          <w:b/>
          <w:sz w:val="32"/>
          <w:szCs w:val="32"/>
          <w:highlight w:val="none"/>
        </w:rPr>
      </w:pPr>
    </w:p>
    <w:p w14:paraId="0F887DE8">
      <w:pPr>
        <w:spacing w:line="360" w:lineRule="auto"/>
        <w:jc w:val="center"/>
        <w:rPr>
          <w:rFonts w:ascii="宋体" w:hAnsi="宋体"/>
          <w:b/>
          <w:sz w:val="32"/>
          <w:szCs w:val="32"/>
          <w:highlight w:val="none"/>
        </w:rPr>
      </w:pPr>
    </w:p>
    <w:p w14:paraId="2331ADD1">
      <w:pPr>
        <w:spacing w:line="360" w:lineRule="auto"/>
        <w:jc w:val="center"/>
        <w:rPr>
          <w:rFonts w:ascii="宋体" w:hAnsi="宋体"/>
          <w:b/>
          <w:sz w:val="32"/>
          <w:szCs w:val="32"/>
          <w:highlight w:val="none"/>
        </w:rPr>
      </w:pPr>
    </w:p>
    <w:p w14:paraId="3F2B9D72">
      <w:pPr>
        <w:spacing w:line="360" w:lineRule="auto"/>
        <w:jc w:val="center"/>
        <w:rPr>
          <w:rFonts w:ascii="宋体" w:hAnsi="宋体"/>
          <w:b/>
          <w:sz w:val="32"/>
          <w:szCs w:val="32"/>
          <w:highlight w:val="none"/>
        </w:rPr>
      </w:pPr>
    </w:p>
    <w:p w14:paraId="340FA541">
      <w:pPr>
        <w:spacing w:line="360" w:lineRule="auto"/>
        <w:jc w:val="center"/>
        <w:rPr>
          <w:rFonts w:ascii="宋体" w:hAnsi="宋体"/>
          <w:b/>
          <w:sz w:val="32"/>
          <w:szCs w:val="32"/>
          <w:highlight w:val="none"/>
        </w:rPr>
      </w:pPr>
    </w:p>
    <w:p w14:paraId="003DEDDE">
      <w:pPr>
        <w:spacing w:line="360" w:lineRule="auto"/>
        <w:jc w:val="center"/>
        <w:rPr>
          <w:rFonts w:ascii="宋体" w:hAnsi="宋体"/>
          <w:b/>
          <w:sz w:val="32"/>
          <w:szCs w:val="32"/>
          <w:highlight w:val="none"/>
        </w:rPr>
      </w:pPr>
    </w:p>
    <w:p w14:paraId="2AC1A82F">
      <w:pPr>
        <w:adjustRightInd w:val="0"/>
        <w:snapToGrid w:val="0"/>
        <w:spacing w:line="560" w:lineRule="atLeast"/>
        <w:ind w:firstLine="602" w:firstLineChars="200"/>
        <w:jc w:val="center"/>
        <w:rPr>
          <w:rFonts w:hint="eastAsia" w:ascii="宋体" w:hAnsi="宋体" w:eastAsia="宋体" w:cs="宋体"/>
          <w:kern w:val="2"/>
          <w:sz w:val="28"/>
          <w:szCs w:val="28"/>
          <w:highlight w:val="none"/>
          <w:lang w:val="en-US" w:eastAsia="zh-CN" w:bidi="ar-SA"/>
        </w:rPr>
      </w:pPr>
      <w:r>
        <w:rPr>
          <w:rFonts w:hint="eastAsia" w:ascii="仿宋_GB2312" w:hAnsi="宋体" w:eastAsia="仿宋_GB2312"/>
          <w:b/>
          <w:sz w:val="30"/>
          <w:szCs w:val="30"/>
          <w:highlight w:val="none"/>
        </w:rPr>
        <w:t>招标人：</w:t>
      </w:r>
      <w:r>
        <w:rPr>
          <w:rFonts w:hint="eastAsia" w:ascii="宋体" w:hAnsi="宋体" w:eastAsia="宋体" w:cs="宋体"/>
          <w:kern w:val="2"/>
          <w:sz w:val="28"/>
          <w:szCs w:val="28"/>
          <w:highlight w:val="none"/>
          <w:lang w:val="en-US" w:eastAsia="zh-CN" w:bidi="ar-SA"/>
        </w:rPr>
        <w:t>深圳市龙岗区城投新基础设施建设管理有限公司</w:t>
      </w:r>
    </w:p>
    <w:p w14:paraId="18FE794C">
      <w:pPr>
        <w:spacing w:line="540" w:lineRule="exact"/>
        <w:jc w:val="right"/>
        <w:rPr>
          <w:rFonts w:ascii="仿宋_GB2312" w:hAnsi="仿宋_GB2312" w:eastAsia="仿宋_GB2312" w:cs="仿宋_GB2312"/>
          <w:b/>
          <w:color w:val="000000"/>
          <w:sz w:val="30"/>
          <w:szCs w:val="30"/>
          <w:highlight w:val="none"/>
        </w:rPr>
      </w:pPr>
    </w:p>
    <w:p w14:paraId="44FCA83D">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五</w:t>
      </w:r>
      <w:r>
        <w:rPr>
          <w:rFonts w:hint="eastAsia" w:ascii="宋体" w:hAnsi="宋体"/>
          <w:sz w:val="30"/>
          <w:szCs w:val="30"/>
          <w:highlight w:val="none"/>
        </w:rPr>
        <w:t>月</w:t>
      </w:r>
    </w:p>
    <w:p w14:paraId="3EE5B003">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1CF11642">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07938F22">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2B90A86F">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6ACF41BC">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27C20A4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53F3EE1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46B0D5D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54677F97">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FECFA2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1527FD2">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1EE43870">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3FFC28B0">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74416826">
      <w:pPr>
        <w:pStyle w:val="39"/>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679E5F70">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512AB05B">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第三方工程质量评估服务合同（二次）</w:t>
      </w:r>
    </w:p>
    <w:p w14:paraId="07BE5910">
      <w:pPr>
        <w:spacing w:line="540" w:lineRule="exact"/>
        <w:ind w:left="0" w:leftChars="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p>
    <w:p w14:paraId="6CCB8404">
      <w:pPr>
        <w:spacing w:line="5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13F555C7">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0A1FE914">
      <w:p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sz w:val="28"/>
          <w:szCs w:val="28"/>
          <w:highlight w:val="none"/>
          <w:lang w:val="en-US" w:eastAsia="zh-CN"/>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08F00CC3">
      <w:pPr>
        <w:spacing w:line="540" w:lineRule="exact"/>
        <w:ind w:firstLine="422" w:firstLineChars="200"/>
        <w:rPr>
          <w:rFonts w:hint="eastAsia"/>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选定后，两个项目分别与委托单位签订第三方工程质量评估服务合同（二次）。</w:t>
      </w:r>
    </w:p>
    <w:p w14:paraId="5AB08CC7">
      <w:pPr>
        <w:numPr>
          <w:ilvl w:val="0"/>
          <w:numId w:val="3"/>
        </w:num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投标上限价：17.6339万元。</w:t>
      </w:r>
    </w:p>
    <w:p w14:paraId="085FFA5A">
      <w:pPr>
        <w:numPr>
          <w:ilvl w:val="0"/>
          <w:numId w:val="0"/>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w:t>
      </w:r>
    </w:p>
    <w:p w14:paraId="557F254C">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294583C0">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default" w:ascii="仿宋_GB2312"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t>投标人</w:t>
      </w:r>
      <w:r>
        <w:rPr>
          <w:rFonts w:hint="eastAsia" w:ascii="仿宋_GB2312" w:eastAsia="仿宋_GB2312" w:cs="Times New Roman"/>
          <w:sz w:val="28"/>
          <w:szCs w:val="28"/>
          <w:highlight w:val="none"/>
          <w:lang w:eastAsia="zh-CN"/>
        </w:rPr>
        <w:t>具有独立法人资格或是具有独立承担民事责任能力的其它组织；</w:t>
      </w:r>
    </w:p>
    <w:p w14:paraId="518E717E">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val="en-US" w:eastAsia="zh-CN"/>
        </w:rPr>
        <w:t>2.</w:t>
      </w:r>
      <w:r>
        <w:rPr>
          <w:rFonts w:hint="default" w:ascii="仿宋_GB2312" w:eastAsia="仿宋_GB2312" w:cs="Times New Roman"/>
          <w:sz w:val="28"/>
          <w:szCs w:val="28"/>
          <w:highlight w:val="none"/>
          <w:lang w:eastAsia="zh-CN"/>
        </w:rPr>
        <w:t>本项目不接受被检查项目的施工、监理等单位的投标，亦不接受与被检查项目的施工、监理等单位有行政隶属关系和利害关联的单位投标</w:t>
      </w:r>
      <w:r>
        <w:rPr>
          <w:rFonts w:hint="eastAsia" w:ascii="仿宋_GB2312" w:eastAsia="仿宋_GB2312" w:cs="Times New Roman"/>
          <w:sz w:val="28"/>
          <w:szCs w:val="28"/>
          <w:highlight w:val="none"/>
          <w:lang w:eastAsia="zh-CN"/>
        </w:rPr>
        <w:t>；</w:t>
      </w:r>
    </w:p>
    <w:p w14:paraId="5F86684C">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eastAsia="zh-CN"/>
        </w:rPr>
        <w:t>不接受联合体投标。</w:t>
      </w:r>
    </w:p>
    <w:p w14:paraId="5B11A87F">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53858376">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cs="Times New Roman"/>
          <w:kern w:val="2"/>
          <w:sz w:val="28"/>
          <w:szCs w:val="28"/>
          <w:highlight w:val="none"/>
          <w:lang w:val="en-US" w:eastAsia="zh-CN" w:bidi="ar-SA"/>
        </w:rPr>
        <w:t>本合同为固定单价合同，合同结算价=综合单价×实际发生的评估次数。综合单价包含前往甲方所在项目地点，完成约定检查评估工作的全部费用，其中包括但不限于人工费、税费、差旅、食宿、交通、检验检测费、专利使用费（若有）等一切相关费用。</w:t>
      </w:r>
    </w:p>
    <w:p w14:paraId="56C13346">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6F4BA521">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每季度支付一次，由甲方根据季度实际服务次数核算计价后进行支付，支付前甲方组织对乙方开展该季度以来的质量评估服务履约评价，评价根据《深圳市龙岗区城投新基础设施建设管理有限公司工程建设项目合同履约评价管理办法》及《深圳市龙岗区城投新基础设施建设管理有限公司工程建设项目合同履约考核实施细则》执行。</w:t>
      </w:r>
    </w:p>
    <w:p w14:paraId="5483A41C">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2BCFF978">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按照《深圳市龙岗区城投新基础设施建设管理有限公司工程建设项目合同履约评价管理办法》及《深圳市龙岗区城投新基础设施建设管理有限公司工程建设项目合同履约考核实施细则》执行，采用按季度履约评价方式。</w:t>
      </w:r>
    </w:p>
    <w:p w14:paraId="0E4F13A2">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0B5424BB">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bookmarkStart w:id="16" w:name="_GoBack"/>
      <w:bookmarkEnd w:id="16"/>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23</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28</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28</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邹</w:t>
      </w:r>
      <w:r>
        <w:rPr>
          <w:rFonts w:hint="eastAsia" w:ascii="仿宋_GB2312" w:hAnsi="仿宋_GB2312" w:eastAsia="仿宋_GB2312" w:cs="仿宋_GB2312"/>
          <w:sz w:val="28"/>
          <w:szCs w:val="28"/>
          <w:highlight w:val="none"/>
        </w:rPr>
        <w:t>工，</w:t>
      </w:r>
      <w:r>
        <w:rPr>
          <w:rFonts w:hint="eastAsia" w:ascii="仿宋_GB2312" w:hAnsi="仿宋_GB2312" w:eastAsia="仿宋_GB2312" w:cs="仿宋_GB2312"/>
          <w:sz w:val="28"/>
          <w:szCs w:val="28"/>
          <w:highlight w:val="none"/>
          <w:lang w:val="en-US" w:eastAsia="zh-CN"/>
        </w:rPr>
        <w:t>15820472526</w:t>
      </w:r>
      <w:r>
        <w:rPr>
          <w:rFonts w:hint="eastAsia" w:ascii="仿宋_GB2312" w:hAnsi="仿宋_GB2312" w:eastAsia="仿宋_GB2312" w:cs="仿宋_GB2312"/>
          <w:sz w:val="28"/>
          <w:szCs w:val="28"/>
          <w:highlight w:val="none"/>
        </w:rPr>
        <w:t>），逾期送达或未按要求密封将予以拒收或原封退回给报价人。</w:t>
      </w:r>
    </w:p>
    <w:p w14:paraId="3635213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2BC377CB">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color w:val="FF0000"/>
          <w:sz w:val="28"/>
          <w:szCs w:val="28"/>
          <w:highlight w:val="none"/>
          <w:lang w:eastAsia="zh-CN"/>
        </w:rPr>
        <w:t>）</w:t>
      </w:r>
      <w:r>
        <w:rPr>
          <w:rFonts w:hint="eastAsia" w:ascii="仿宋_GB2312" w:hAnsi="仿宋_GB2312" w:eastAsia="仿宋_GB2312" w:cs="仿宋_GB2312"/>
          <w:color w:val="FF0000"/>
          <w:sz w:val="28"/>
          <w:szCs w:val="28"/>
          <w:highlight w:val="none"/>
          <w:lang w:val="en-US" w:eastAsia="zh-CN"/>
        </w:rPr>
        <w:t>因第一次有</w:t>
      </w:r>
      <w:r>
        <w:rPr>
          <w:rFonts w:hint="eastAsia" w:ascii="仿宋_GB2312" w:hAnsi="仿宋_GB2312" w:eastAsia="仿宋_GB2312" w:cs="仿宋_GB2312"/>
          <w:color w:val="FF0000"/>
          <w:sz w:val="28"/>
          <w:szCs w:val="28"/>
          <w:highlight w:val="none"/>
        </w:rPr>
        <w:t>效响应单位不足3家的，</w:t>
      </w:r>
      <w:r>
        <w:rPr>
          <w:rFonts w:hint="eastAsia" w:ascii="仿宋_GB2312" w:hAnsi="仿宋_GB2312" w:eastAsia="仿宋_GB2312" w:cs="仿宋_GB2312"/>
          <w:color w:val="FF0000"/>
          <w:sz w:val="28"/>
          <w:szCs w:val="28"/>
          <w:highlight w:val="none"/>
          <w:lang w:val="en-US" w:eastAsia="zh-CN"/>
        </w:rPr>
        <w:t>本次为</w:t>
      </w:r>
      <w:r>
        <w:rPr>
          <w:rFonts w:hint="eastAsia" w:ascii="仿宋_GB2312" w:hAnsi="仿宋_GB2312" w:eastAsia="仿宋_GB2312" w:cs="仿宋_GB2312"/>
          <w:color w:val="FF0000"/>
          <w:sz w:val="28"/>
          <w:szCs w:val="28"/>
          <w:highlight w:val="none"/>
        </w:rPr>
        <w:t>发布二次公告，若二次公告期满后，有效响应单位仅有2家的，则拆封响应文件继续评审，有效响应单位仅有1家的，则直接选定承包单位。</w:t>
      </w:r>
    </w:p>
    <w:p w14:paraId="3D0F2EC9">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545A53E4">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09B0B4B7">
      <w:pPr>
        <w:spacing w:line="540" w:lineRule="exact"/>
        <w:ind w:left="1687" w:hanging="1687" w:hangingChars="600"/>
        <w:rPr>
          <w:rFonts w:ascii="仿宋_GB2312" w:hAnsi="仿宋_GB2312" w:eastAsia="仿宋_GB2312" w:cs="仿宋_GB2312"/>
          <w:b/>
          <w:bCs/>
          <w:sz w:val="28"/>
          <w:szCs w:val="28"/>
          <w:highlight w:val="none"/>
        </w:rPr>
      </w:pPr>
    </w:p>
    <w:p w14:paraId="23BBE44A">
      <w:pPr>
        <w:spacing w:line="540" w:lineRule="exact"/>
        <w:ind w:left="1687" w:hanging="1687" w:hangingChars="600"/>
        <w:rPr>
          <w:rFonts w:ascii="仿宋_GB2312" w:hAnsi="仿宋_GB2312" w:eastAsia="仿宋_GB2312" w:cs="仿宋_GB2312"/>
          <w:b/>
          <w:bCs/>
          <w:sz w:val="28"/>
          <w:szCs w:val="28"/>
          <w:highlight w:val="none"/>
        </w:rPr>
      </w:pPr>
    </w:p>
    <w:p w14:paraId="1A62FDE1">
      <w:pPr>
        <w:rPr>
          <w:highlight w:val="none"/>
        </w:rPr>
      </w:pPr>
    </w:p>
    <w:p w14:paraId="0981FA9B">
      <w:pPr>
        <w:rPr>
          <w:highlight w:val="none"/>
        </w:rPr>
      </w:pPr>
    </w:p>
    <w:p w14:paraId="61DD9F72">
      <w:pPr>
        <w:rPr>
          <w:highlight w:val="none"/>
        </w:rPr>
      </w:pPr>
    </w:p>
    <w:p w14:paraId="4D448761">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48922B8A">
      <w:pPr>
        <w:numPr>
          <w:ilvl w:val="0"/>
          <w:numId w:val="4"/>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6374F186">
      <w:pPr>
        <w:numPr>
          <w:ilvl w:val="0"/>
          <w:numId w:val="4"/>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3C41436B">
      <w:pPr>
        <w:pStyle w:val="30"/>
        <w:spacing w:line="540" w:lineRule="exact"/>
        <w:rPr>
          <w:sz w:val="28"/>
          <w:szCs w:val="28"/>
          <w:highlight w:val="none"/>
        </w:rPr>
      </w:pPr>
    </w:p>
    <w:p w14:paraId="1E932540">
      <w:pPr>
        <w:adjustRightInd w:val="0"/>
        <w:snapToGrid w:val="0"/>
        <w:spacing w:line="560" w:lineRule="atLeas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317F3843">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23</w:t>
      </w:r>
      <w:r>
        <w:rPr>
          <w:rFonts w:hint="eastAsia" w:ascii="仿宋_GB2312" w:hAnsi="仿宋_GB2312" w:eastAsia="仿宋_GB2312" w:cs="仿宋_GB2312"/>
          <w:b/>
          <w:bCs/>
          <w:sz w:val="28"/>
          <w:szCs w:val="28"/>
          <w:highlight w:val="none"/>
        </w:rPr>
        <w:t>日</w:t>
      </w:r>
    </w:p>
    <w:p w14:paraId="50371410">
      <w:pPr>
        <w:rPr>
          <w:highlight w:val="none"/>
        </w:rPr>
      </w:pPr>
      <w:r>
        <w:rPr>
          <w:highlight w:val="none"/>
        </w:rPr>
        <w:br w:type="page"/>
      </w:r>
    </w:p>
    <w:p w14:paraId="345FF4D3">
      <w:pPr>
        <w:pStyle w:val="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3C43ABEB">
      <w:pPr>
        <w:pStyle w:val="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0B76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07F87C15">
            <w:pPr>
              <w:pStyle w:val="30"/>
              <w:rPr>
                <w:rFonts w:hint="eastAsia" w:hAnsi="宋体"/>
                <w:highlight w:val="none"/>
              </w:rPr>
            </w:pPr>
            <w:r>
              <w:rPr>
                <w:rFonts w:hint="eastAsia" w:hAnsi="宋体"/>
                <w:highlight w:val="none"/>
              </w:rPr>
              <w:t>序号</w:t>
            </w:r>
          </w:p>
        </w:tc>
        <w:tc>
          <w:tcPr>
            <w:tcW w:w="1534" w:type="dxa"/>
            <w:vAlign w:val="center"/>
          </w:tcPr>
          <w:p w14:paraId="7DE2603D">
            <w:pPr>
              <w:pStyle w:val="30"/>
              <w:rPr>
                <w:rFonts w:hint="eastAsia" w:hAnsi="宋体"/>
                <w:highlight w:val="none"/>
              </w:rPr>
            </w:pPr>
            <w:r>
              <w:rPr>
                <w:rFonts w:hint="eastAsia" w:hAnsi="宋体"/>
                <w:highlight w:val="none"/>
              </w:rPr>
              <w:t>项目明细内容</w:t>
            </w:r>
          </w:p>
        </w:tc>
        <w:tc>
          <w:tcPr>
            <w:tcW w:w="3151" w:type="dxa"/>
            <w:vAlign w:val="center"/>
          </w:tcPr>
          <w:p w14:paraId="632D3619">
            <w:pPr>
              <w:pStyle w:val="30"/>
              <w:rPr>
                <w:rFonts w:hint="eastAsia" w:hAnsi="宋体"/>
                <w:highlight w:val="none"/>
              </w:rPr>
            </w:pPr>
            <w:r>
              <w:rPr>
                <w:rFonts w:hint="eastAsia" w:hAnsi="宋体"/>
                <w:highlight w:val="none"/>
              </w:rPr>
              <w:t>要求</w:t>
            </w:r>
          </w:p>
        </w:tc>
        <w:tc>
          <w:tcPr>
            <w:tcW w:w="3108" w:type="dxa"/>
            <w:vAlign w:val="center"/>
          </w:tcPr>
          <w:p w14:paraId="56A904EC">
            <w:pPr>
              <w:pStyle w:val="30"/>
              <w:rPr>
                <w:rFonts w:hint="eastAsia" w:hAnsi="宋体"/>
                <w:highlight w:val="none"/>
              </w:rPr>
            </w:pPr>
            <w:r>
              <w:rPr>
                <w:rFonts w:hint="eastAsia" w:hAnsi="宋体"/>
                <w:highlight w:val="none"/>
              </w:rPr>
              <w:t>备注</w:t>
            </w:r>
          </w:p>
        </w:tc>
      </w:tr>
      <w:tr w14:paraId="4E8B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4854EEEF">
            <w:pPr>
              <w:pStyle w:val="30"/>
              <w:rPr>
                <w:rFonts w:hint="eastAsia" w:hAnsi="宋体"/>
                <w:highlight w:val="none"/>
              </w:rPr>
            </w:pPr>
            <w:r>
              <w:rPr>
                <w:rFonts w:hint="eastAsia" w:hAnsi="宋体"/>
                <w:highlight w:val="none"/>
              </w:rPr>
              <w:t>1</w:t>
            </w:r>
          </w:p>
        </w:tc>
        <w:tc>
          <w:tcPr>
            <w:tcW w:w="1534" w:type="dxa"/>
            <w:vAlign w:val="center"/>
          </w:tcPr>
          <w:p w14:paraId="11655AF4">
            <w:pPr>
              <w:pStyle w:val="30"/>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426F511">
            <w:pPr>
              <w:pStyle w:val="30"/>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23</w:t>
            </w:r>
            <w:r>
              <w:rPr>
                <w:rFonts w:hint="eastAsia" w:hAnsi="宋体"/>
                <w:highlight w:val="yellow"/>
              </w:rPr>
              <w:t>日—</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28</w:t>
            </w:r>
            <w:r>
              <w:rPr>
                <w:rFonts w:hint="eastAsia" w:hAnsi="宋体"/>
                <w:highlight w:val="yellow"/>
              </w:rPr>
              <w:t>日止</w:t>
            </w:r>
          </w:p>
        </w:tc>
        <w:tc>
          <w:tcPr>
            <w:tcW w:w="3108" w:type="dxa"/>
            <w:vAlign w:val="center"/>
          </w:tcPr>
          <w:p w14:paraId="19B0DC93">
            <w:pPr>
              <w:pStyle w:val="30"/>
              <w:rPr>
                <w:rFonts w:hint="eastAsia" w:hAnsi="宋体"/>
                <w:highlight w:val="none"/>
              </w:rPr>
            </w:pPr>
            <w:r>
              <w:rPr>
                <w:rFonts w:hint="eastAsia" w:hAnsi="宋体"/>
                <w:highlight w:val="none"/>
              </w:rPr>
              <w:t>龙岗区城投集团官方网站</w:t>
            </w:r>
          </w:p>
        </w:tc>
      </w:tr>
      <w:tr w14:paraId="08C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74955095">
            <w:pPr>
              <w:pStyle w:val="30"/>
              <w:rPr>
                <w:rFonts w:hint="eastAsia" w:hAnsi="宋体"/>
                <w:highlight w:val="none"/>
              </w:rPr>
            </w:pPr>
            <w:r>
              <w:rPr>
                <w:rFonts w:hint="eastAsia" w:hAnsi="宋体"/>
                <w:highlight w:val="none"/>
              </w:rPr>
              <w:t>2</w:t>
            </w:r>
          </w:p>
        </w:tc>
        <w:tc>
          <w:tcPr>
            <w:tcW w:w="1534" w:type="dxa"/>
            <w:vAlign w:val="center"/>
          </w:tcPr>
          <w:p w14:paraId="49EA3029">
            <w:pPr>
              <w:pStyle w:val="30"/>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1E93F680">
            <w:pPr>
              <w:pStyle w:val="30"/>
              <w:rPr>
                <w:rFonts w:hint="eastAsia" w:hAnsi="宋体"/>
                <w:highlight w:val="none"/>
              </w:rPr>
            </w:pPr>
            <w:r>
              <w:rPr>
                <w:rFonts w:hint="eastAsia" w:hAnsi="宋体" w:cs="Times New Roman"/>
                <w:highlight w:val="none"/>
                <w:lang w:val="en-US" w:eastAsia="zh-CN"/>
              </w:rPr>
              <w:t>17.6339</w:t>
            </w:r>
            <w:r>
              <w:rPr>
                <w:rFonts w:hint="eastAsia" w:hAnsi="宋体"/>
                <w:highlight w:val="none"/>
              </w:rPr>
              <w:t>万元</w:t>
            </w:r>
          </w:p>
        </w:tc>
        <w:tc>
          <w:tcPr>
            <w:tcW w:w="3108" w:type="dxa"/>
            <w:vMerge w:val="restart"/>
            <w:vAlign w:val="center"/>
          </w:tcPr>
          <w:p w14:paraId="1F7BDFC9">
            <w:pPr>
              <w:pStyle w:val="30"/>
              <w:rPr>
                <w:rFonts w:hint="eastAsia" w:hAnsi="宋体"/>
                <w:highlight w:val="none"/>
                <w:lang w:val="en-US" w:eastAsia="zh-CN"/>
              </w:rPr>
            </w:pPr>
          </w:p>
        </w:tc>
      </w:tr>
      <w:tr w14:paraId="161F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CCF999">
            <w:pPr>
              <w:pStyle w:val="30"/>
              <w:rPr>
                <w:rFonts w:hint="eastAsia" w:hAnsi="宋体"/>
                <w:highlight w:val="none"/>
              </w:rPr>
            </w:pPr>
            <w:r>
              <w:rPr>
                <w:rFonts w:hint="eastAsia" w:hAnsi="宋体"/>
                <w:highlight w:val="none"/>
              </w:rPr>
              <w:t>3</w:t>
            </w:r>
          </w:p>
        </w:tc>
        <w:tc>
          <w:tcPr>
            <w:tcW w:w="1534" w:type="dxa"/>
            <w:vAlign w:val="center"/>
          </w:tcPr>
          <w:p w14:paraId="6096C415">
            <w:pPr>
              <w:pStyle w:val="30"/>
              <w:rPr>
                <w:rFonts w:hint="eastAsia" w:hAnsi="宋体"/>
                <w:highlight w:val="none"/>
              </w:rPr>
            </w:pPr>
            <w:r>
              <w:rPr>
                <w:rFonts w:hint="eastAsia" w:hAnsi="宋体"/>
                <w:highlight w:val="none"/>
              </w:rPr>
              <w:t>投标报价要求</w:t>
            </w:r>
          </w:p>
        </w:tc>
        <w:tc>
          <w:tcPr>
            <w:tcW w:w="3151" w:type="dxa"/>
            <w:vAlign w:val="center"/>
          </w:tcPr>
          <w:p w14:paraId="261C75BE">
            <w:pPr>
              <w:pStyle w:val="30"/>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74B4BA0D">
            <w:pPr>
              <w:pStyle w:val="30"/>
              <w:rPr>
                <w:rFonts w:hint="eastAsia" w:hAnsi="宋体"/>
                <w:highlight w:val="none"/>
              </w:rPr>
            </w:pPr>
          </w:p>
        </w:tc>
      </w:tr>
      <w:tr w14:paraId="660D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53C61F61">
            <w:pPr>
              <w:pStyle w:val="30"/>
              <w:rPr>
                <w:rFonts w:hint="eastAsia" w:hAnsi="宋体"/>
                <w:highlight w:val="none"/>
              </w:rPr>
            </w:pPr>
            <w:r>
              <w:rPr>
                <w:rFonts w:hint="eastAsia" w:hAnsi="宋体"/>
                <w:highlight w:val="none"/>
              </w:rPr>
              <w:t>4</w:t>
            </w:r>
          </w:p>
        </w:tc>
        <w:tc>
          <w:tcPr>
            <w:tcW w:w="1534" w:type="dxa"/>
            <w:vAlign w:val="center"/>
          </w:tcPr>
          <w:p w14:paraId="46937DD4">
            <w:pPr>
              <w:pStyle w:val="30"/>
              <w:rPr>
                <w:rFonts w:hint="eastAsia" w:hAnsi="宋体"/>
                <w:highlight w:val="none"/>
              </w:rPr>
            </w:pPr>
            <w:r>
              <w:rPr>
                <w:rFonts w:hint="eastAsia" w:hAnsi="宋体"/>
                <w:highlight w:val="none"/>
              </w:rPr>
              <w:t>工期要求</w:t>
            </w:r>
          </w:p>
        </w:tc>
        <w:tc>
          <w:tcPr>
            <w:tcW w:w="3151" w:type="dxa"/>
            <w:vAlign w:val="center"/>
          </w:tcPr>
          <w:p w14:paraId="3B7D998D">
            <w:pPr>
              <w:pStyle w:val="30"/>
              <w:rPr>
                <w:rFonts w:hint="default" w:hAnsi="宋体"/>
                <w:highlight w:val="none"/>
              </w:rPr>
            </w:pPr>
          </w:p>
        </w:tc>
        <w:tc>
          <w:tcPr>
            <w:tcW w:w="3108" w:type="dxa"/>
            <w:vAlign w:val="center"/>
          </w:tcPr>
          <w:p w14:paraId="4A99B6D0">
            <w:pPr>
              <w:pStyle w:val="30"/>
              <w:rPr>
                <w:rFonts w:hint="default" w:hAnsi="宋体"/>
                <w:highlight w:val="none"/>
                <w:lang w:val="en-US"/>
              </w:rPr>
            </w:pPr>
          </w:p>
        </w:tc>
      </w:tr>
      <w:tr w14:paraId="447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5D4AD8C">
            <w:pPr>
              <w:pStyle w:val="30"/>
              <w:rPr>
                <w:rFonts w:hint="eastAsia" w:hAnsi="宋体"/>
                <w:highlight w:val="none"/>
              </w:rPr>
            </w:pPr>
            <w:r>
              <w:rPr>
                <w:rFonts w:hint="eastAsia" w:hAnsi="宋体"/>
                <w:highlight w:val="none"/>
              </w:rPr>
              <w:t>5</w:t>
            </w:r>
          </w:p>
        </w:tc>
        <w:tc>
          <w:tcPr>
            <w:tcW w:w="1534" w:type="dxa"/>
            <w:vAlign w:val="center"/>
          </w:tcPr>
          <w:p w14:paraId="1FDAFDE5">
            <w:pPr>
              <w:pStyle w:val="30"/>
              <w:rPr>
                <w:rFonts w:hint="eastAsia" w:hAnsi="宋体"/>
                <w:highlight w:val="none"/>
              </w:rPr>
            </w:pPr>
            <w:r>
              <w:rPr>
                <w:rFonts w:hint="eastAsia" w:hAnsi="宋体"/>
                <w:highlight w:val="none"/>
              </w:rPr>
              <w:t>递交投标文件截止时间</w:t>
            </w:r>
          </w:p>
        </w:tc>
        <w:tc>
          <w:tcPr>
            <w:tcW w:w="3151" w:type="dxa"/>
            <w:vAlign w:val="center"/>
          </w:tcPr>
          <w:p w14:paraId="6B4A82F9">
            <w:pPr>
              <w:pStyle w:val="30"/>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28</w:t>
            </w:r>
            <w:r>
              <w:rPr>
                <w:rFonts w:hint="eastAsia" w:hAnsi="宋体"/>
                <w:highlight w:val="yellow"/>
              </w:rPr>
              <w:t>日</w:t>
            </w:r>
            <w:r>
              <w:rPr>
                <w:rFonts w:hint="eastAsia" w:hAnsi="宋体"/>
                <w:highlight w:val="yellow"/>
                <w:lang w:eastAsia="zh-CN"/>
              </w:rPr>
              <w:t>15:00</w:t>
            </w:r>
          </w:p>
        </w:tc>
        <w:tc>
          <w:tcPr>
            <w:tcW w:w="3108" w:type="dxa"/>
            <w:vAlign w:val="center"/>
          </w:tcPr>
          <w:p w14:paraId="3462F6F5">
            <w:pPr>
              <w:pStyle w:val="30"/>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45EA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5489B09">
            <w:pPr>
              <w:pStyle w:val="30"/>
              <w:rPr>
                <w:rFonts w:hint="eastAsia" w:hAnsi="宋体"/>
                <w:highlight w:val="none"/>
              </w:rPr>
            </w:pPr>
            <w:r>
              <w:rPr>
                <w:rFonts w:hint="eastAsia" w:hAnsi="宋体"/>
                <w:highlight w:val="none"/>
              </w:rPr>
              <w:t>6</w:t>
            </w:r>
          </w:p>
        </w:tc>
        <w:tc>
          <w:tcPr>
            <w:tcW w:w="1534" w:type="dxa"/>
            <w:vAlign w:val="center"/>
          </w:tcPr>
          <w:p w14:paraId="79453308">
            <w:pPr>
              <w:pStyle w:val="30"/>
              <w:rPr>
                <w:rFonts w:hint="eastAsia" w:hAnsi="宋体"/>
                <w:highlight w:val="none"/>
              </w:rPr>
            </w:pPr>
            <w:r>
              <w:rPr>
                <w:rFonts w:hint="eastAsia" w:hAnsi="宋体"/>
                <w:highlight w:val="none"/>
              </w:rPr>
              <w:t>开标时间</w:t>
            </w:r>
          </w:p>
        </w:tc>
        <w:tc>
          <w:tcPr>
            <w:tcW w:w="3151" w:type="dxa"/>
            <w:vAlign w:val="center"/>
          </w:tcPr>
          <w:p w14:paraId="4433A424">
            <w:pPr>
              <w:pStyle w:val="30"/>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28</w:t>
            </w:r>
            <w:r>
              <w:rPr>
                <w:rFonts w:hint="eastAsia" w:hAnsi="宋体"/>
                <w:highlight w:val="yellow"/>
              </w:rPr>
              <w:t>日</w:t>
            </w:r>
            <w:r>
              <w:rPr>
                <w:rFonts w:hint="eastAsia" w:hAnsi="宋体"/>
                <w:highlight w:val="yellow"/>
                <w:lang w:eastAsia="zh-CN"/>
              </w:rPr>
              <w:t>15:00（</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C73FD68">
            <w:pPr>
              <w:pStyle w:val="30"/>
              <w:rPr>
                <w:rFonts w:hint="eastAsia" w:hAnsi="宋体"/>
                <w:highlight w:val="none"/>
              </w:rPr>
            </w:pPr>
            <w:r>
              <w:rPr>
                <w:rFonts w:hint="eastAsia" w:hAnsi="宋体"/>
                <w:highlight w:val="none"/>
              </w:rPr>
              <w:t>地点：</w:t>
            </w:r>
            <w:r>
              <w:rPr>
                <w:rFonts w:hint="eastAsia" w:hAnsi="宋体"/>
                <w:highlight w:val="none"/>
                <w:lang w:eastAsia="zh-CN"/>
              </w:rPr>
              <w:t>深圳市龙岗区城投新基础设施建设管理有限公司</w:t>
            </w:r>
            <w:r>
              <w:rPr>
                <w:rFonts w:hint="eastAsia" w:hAnsi="宋体"/>
                <w:highlight w:val="none"/>
              </w:rPr>
              <w:t>会议室</w:t>
            </w:r>
          </w:p>
        </w:tc>
      </w:tr>
      <w:tr w14:paraId="1A54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05372B39">
            <w:pPr>
              <w:pStyle w:val="30"/>
              <w:rPr>
                <w:rFonts w:hint="eastAsia" w:hAnsi="宋体"/>
                <w:highlight w:val="none"/>
              </w:rPr>
            </w:pPr>
            <w:r>
              <w:rPr>
                <w:rFonts w:hint="eastAsia" w:hAnsi="宋体"/>
                <w:highlight w:val="none"/>
              </w:rPr>
              <w:t>7</w:t>
            </w:r>
          </w:p>
        </w:tc>
        <w:tc>
          <w:tcPr>
            <w:tcW w:w="1534" w:type="dxa"/>
            <w:vAlign w:val="center"/>
          </w:tcPr>
          <w:p w14:paraId="77DFB1D5">
            <w:pPr>
              <w:pStyle w:val="30"/>
              <w:rPr>
                <w:rFonts w:hint="eastAsia" w:hAnsi="宋体"/>
                <w:highlight w:val="none"/>
              </w:rPr>
            </w:pPr>
            <w:r>
              <w:rPr>
                <w:rFonts w:hint="eastAsia" w:hAnsi="宋体"/>
                <w:highlight w:val="none"/>
              </w:rPr>
              <w:t>投标文件</w:t>
            </w:r>
          </w:p>
        </w:tc>
        <w:tc>
          <w:tcPr>
            <w:tcW w:w="3151" w:type="dxa"/>
            <w:vAlign w:val="center"/>
          </w:tcPr>
          <w:p w14:paraId="0A4C9043">
            <w:pPr>
              <w:pStyle w:val="30"/>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28D5D1C4">
            <w:pPr>
              <w:pStyle w:val="30"/>
              <w:rPr>
                <w:rFonts w:hint="eastAsia" w:hAnsi="宋体"/>
                <w:highlight w:val="none"/>
              </w:rPr>
            </w:pPr>
          </w:p>
        </w:tc>
      </w:tr>
      <w:tr w14:paraId="042F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13D88AED">
            <w:pPr>
              <w:pStyle w:val="30"/>
              <w:rPr>
                <w:rFonts w:hint="eastAsia" w:hAnsi="宋体"/>
                <w:highlight w:val="none"/>
              </w:rPr>
            </w:pPr>
            <w:r>
              <w:rPr>
                <w:rFonts w:hint="eastAsia" w:hAnsi="宋体"/>
                <w:highlight w:val="none"/>
              </w:rPr>
              <w:t>8</w:t>
            </w:r>
          </w:p>
        </w:tc>
        <w:tc>
          <w:tcPr>
            <w:tcW w:w="1534" w:type="dxa"/>
            <w:vAlign w:val="center"/>
          </w:tcPr>
          <w:p w14:paraId="6E02B139">
            <w:pPr>
              <w:pStyle w:val="30"/>
              <w:rPr>
                <w:rFonts w:hint="eastAsia" w:hAnsi="宋体"/>
                <w:highlight w:val="none"/>
              </w:rPr>
            </w:pPr>
            <w:r>
              <w:rPr>
                <w:rFonts w:hint="eastAsia" w:hAnsi="宋体"/>
                <w:highlight w:val="none"/>
              </w:rPr>
              <w:t>投标担保</w:t>
            </w:r>
          </w:p>
        </w:tc>
        <w:tc>
          <w:tcPr>
            <w:tcW w:w="3151" w:type="dxa"/>
            <w:vAlign w:val="center"/>
          </w:tcPr>
          <w:p w14:paraId="03BE4F44">
            <w:pPr>
              <w:pStyle w:val="30"/>
              <w:rPr>
                <w:rFonts w:hint="eastAsia" w:hAnsi="宋体"/>
                <w:highlight w:val="none"/>
              </w:rPr>
            </w:pPr>
            <w:r>
              <w:rPr>
                <w:rFonts w:hint="eastAsia" w:hAnsi="宋体"/>
                <w:highlight w:val="none"/>
              </w:rPr>
              <w:t>不提供</w:t>
            </w:r>
          </w:p>
        </w:tc>
        <w:tc>
          <w:tcPr>
            <w:tcW w:w="3108" w:type="dxa"/>
            <w:vAlign w:val="center"/>
          </w:tcPr>
          <w:p w14:paraId="1B19B5FB">
            <w:pPr>
              <w:pStyle w:val="30"/>
              <w:rPr>
                <w:rFonts w:hint="eastAsia" w:hAnsi="宋体"/>
                <w:highlight w:val="none"/>
              </w:rPr>
            </w:pPr>
          </w:p>
        </w:tc>
      </w:tr>
      <w:tr w14:paraId="25AB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423F1146">
            <w:pPr>
              <w:pStyle w:val="30"/>
              <w:rPr>
                <w:rFonts w:hint="eastAsia" w:hAnsi="宋体"/>
                <w:highlight w:val="none"/>
              </w:rPr>
            </w:pPr>
            <w:r>
              <w:rPr>
                <w:rFonts w:hint="eastAsia" w:hAnsi="宋体"/>
                <w:highlight w:val="none"/>
              </w:rPr>
              <w:t>9</w:t>
            </w:r>
          </w:p>
        </w:tc>
        <w:tc>
          <w:tcPr>
            <w:tcW w:w="1534" w:type="dxa"/>
            <w:vAlign w:val="center"/>
          </w:tcPr>
          <w:p w14:paraId="24F792B3">
            <w:pPr>
              <w:pStyle w:val="30"/>
              <w:rPr>
                <w:rFonts w:hint="eastAsia" w:hAnsi="宋体"/>
                <w:highlight w:val="none"/>
              </w:rPr>
            </w:pPr>
            <w:r>
              <w:rPr>
                <w:rFonts w:hint="eastAsia" w:hAnsi="宋体"/>
                <w:highlight w:val="none"/>
              </w:rPr>
              <w:t>投标有效期</w:t>
            </w:r>
          </w:p>
        </w:tc>
        <w:tc>
          <w:tcPr>
            <w:tcW w:w="3151" w:type="dxa"/>
            <w:vAlign w:val="center"/>
          </w:tcPr>
          <w:p w14:paraId="462FDB5B">
            <w:pPr>
              <w:pStyle w:val="30"/>
              <w:rPr>
                <w:rFonts w:hint="eastAsia" w:hAnsi="宋体"/>
                <w:highlight w:val="none"/>
              </w:rPr>
            </w:pPr>
            <w:r>
              <w:rPr>
                <w:rFonts w:hint="eastAsia" w:hAnsi="宋体"/>
                <w:highlight w:val="none"/>
              </w:rPr>
              <w:t>60天</w:t>
            </w:r>
          </w:p>
        </w:tc>
        <w:tc>
          <w:tcPr>
            <w:tcW w:w="3108" w:type="dxa"/>
            <w:vAlign w:val="center"/>
          </w:tcPr>
          <w:p w14:paraId="0EE0F630">
            <w:pPr>
              <w:pStyle w:val="30"/>
              <w:rPr>
                <w:rFonts w:hint="eastAsia" w:hAnsi="宋体"/>
                <w:highlight w:val="none"/>
              </w:rPr>
            </w:pPr>
          </w:p>
        </w:tc>
      </w:tr>
      <w:tr w14:paraId="56D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08BE6E7D">
            <w:pPr>
              <w:pStyle w:val="30"/>
              <w:rPr>
                <w:rFonts w:hint="eastAsia" w:hAnsi="宋体"/>
                <w:highlight w:val="none"/>
              </w:rPr>
            </w:pPr>
            <w:r>
              <w:rPr>
                <w:rFonts w:hint="eastAsia" w:hAnsi="宋体"/>
                <w:highlight w:val="none"/>
              </w:rPr>
              <w:t>10</w:t>
            </w:r>
          </w:p>
        </w:tc>
        <w:tc>
          <w:tcPr>
            <w:tcW w:w="1534" w:type="dxa"/>
            <w:vAlign w:val="center"/>
          </w:tcPr>
          <w:p w14:paraId="27B0D69B">
            <w:pPr>
              <w:pStyle w:val="30"/>
              <w:rPr>
                <w:rFonts w:hint="eastAsia" w:hAnsi="宋体"/>
                <w:highlight w:val="none"/>
              </w:rPr>
            </w:pPr>
            <w:r>
              <w:rPr>
                <w:rFonts w:hint="eastAsia" w:hAnsi="宋体"/>
                <w:highlight w:val="none"/>
              </w:rPr>
              <w:t>招标人</w:t>
            </w:r>
          </w:p>
          <w:p w14:paraId="0A7A6025">
            <w:pPr>
              <w:pStyle w:val="30"/>
              <w:rPr>
                <w:rFonts w:hint="eastAsia" w:hAnsi="宋体"/>
                <w:highlight w:val="none"/>
              </w:rPr>
            </w:pPr>
          </w:p>
        </w:tc>
        <w:tc>
          <w:tcPr>
            <w:tcW w:w="3151" w:type="dxa"/>
            <w:vAlign w:val="center"/>
          </w:tcPr>
          <w:p w14:paraId="7C95C689">
            <w:pPr>
              <w:pStyle w:val="30"/>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深圳市龙岗区城投新基础设施建设管理有限公司</w:t>
            </w:r>
          </w:p>
          <w:p w14:paraId="26A47974">
            <w:pPr>
              <w:pStyle w:val="30"/>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307C0B13">
            <w:pPr>
              <w:pStyle w:val="30"/>
              <w:rPr>
                <w:rFonts w:hint="default" w:hAnsi="宋体"/>
                <w:highlight w:val="none"/>
                <w:lang w:val="en-US"/>
              </w:rPr>
            </w:pPr>
            <w:r>
              <w:rPr>
                <w:rFonts w:hint="eastAsia" w:hAnsi="宋体"/>
                <w:highlight w:val="none"/>
              </w:rPr>
              <w:t>联 系 人：</w:t>
            </w:r>
            <w:r>
              <w:rPr>
                <w:rFonts w:hint="eastAsia" w:hAnsi="宋体"/>
                <w:highlight w:val="none"/>
                <w:lang w:val="en-US" w:eastAsia="zh-CN"/>
              </w:rPr>
              <w:t>邹工</w:t>
            </w:r>
          </w:p>
          <w:p w14:paraId="28BED22C">
            <w:pPr>
              <w:pStyle w:val="30"/>
              <w:rPr>
                <w:rFonts w:hint="default" w:hAnsi="宋体" w:eastAsia="宋体"/>
                <w:highlight w:val="none"/>
                <w:lang w:val="en-US" w:eastAsia="zh-CN"/>
              </w:rPr>
            </w:pPr>
            <w:r>
              <w:rPr>
                <w:rFonts w:hint="eastAsia" w:hAnsi="宋体"/>
                <w:highlight w:val="none"/>
              </w:rPr>
              <w:t>联系电话：</w:t>
            </w:r>
            <w:r>
              <w:rPr>
                <w:rFonts w:hint="eastAsia" w:hAnsi="宋体"/>
                <w:highlight w:val="none"/>
                <w:lang w:val="en-US" w:eastAsia="zh-CN"/>
              </w:rPr>
              <w:t>15820472526</w:t>
            </w:r>
          </w:p>
        </w:tc>
        <w:tc>
          <w:tcPr>
            <w:tcW w:w="3108" w:type="dxa"/>
            <w:vAlign w:val="center"/>
          </w:tcPr>
          <w:p w14:paraId="3F3C068C">
            <w:pPr>
              <w:pStyle w:val="30"/>
              <w:rPr>
                <w:rFonts w:hint="eastAsia" w:hAnsi="宋体"/>
                <w:highlight w:val="none"/>
              </w:rPr>
            </w:pPr>
          </w:p>
        </w:tc>
      </w:tr>
    </w:tbl>
    <w:p w14:paraId="3D3B754B">
      <w:pPr>
        <w:rPr>
          <w:highlight w:val="none"/>
        </w:rPr>
      </w:pPr>
      <w:r>
        <w:rPr>
          <w:highlight w:val="none"/>
        </w:rPr>
        <w:br w:type="page"/>
      </w:r>
    </w:p>
    <w:p w14:paraId="51ED62F5">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09332CBA">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300C181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根据《中华人民共和国招标投标法》等有关法律、法规、规章和规范性文件的规定，本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1B07416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深圳市龙岗区城投新基础设施建设管理有限公司</w:t>
      </w:r>
      <w:r>
        <w:rPr>
          <w:rFonts w:hint="eastAsia" w:ascii="宋体" w:hAnsi="宋体" w:eastAsia="宋体" w:cs="Times New Roman"/>
          <w:snapToGrid w:val="0"/>
          <w:kern w:val="0"/>
          <w:sz w:val="21"/>
          <w:szCs w:val="21"/>
          <w:highlight w:val="none"/>
        </w:rPr>
        <w:t>。</w:t>
      </w:r>
    </w:p>
    <w:p w14:paraId="5345DC4A">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第三方工程质量评估服务合同（二次）</w:t>
      </w:r>
      <w:r>
        <w:rPr>
          <w:rFonts w:hint="eastAsia" w:ascii="宋体" w:hAnsi="宋体" w:eastAsia="宋体" w:cs="Times New Roman"/>
          <w:snapToGrid w:val="0"/>
          <w:kern w:val="0"/>
          <w:sz w:val="21"/>
          <w:szCs w:val="21"/>
          <w:highlight w:val="none"/>
          <w:lang w:val="en-US" w:eastAsia="zh-CN"/>
        </w:rPr>
        <w:t>。</w:t>
      </w:r>
    </w:p>
    <w:p w14:paraId="523F1011">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41A14FB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01EF44C5">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54D2372B">
      <w:pPr>
        <w:spacing w:line="540" w:lineRule="exact"/>
        <w:ind w:firstLine="420" w:firstLineChars="200"/>
        <w:rPr>
          <w:rFonts w:hint="eastAsia" w:ascii="宋体" w:hAnsi="宋体"/>
          <w:snapToGrid w:val="0"/>
          <w:kern w:val="0"/>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12D36DB4">
      <w:pPr>
        <w:spacing w:line="540" w:lineRule="exact"/>
        <w:ind w:firstLine="422" w:firstLineChars="200"/>
        <w:rPr>
          <w:rFonts w:hint="default" w:ascii="宋体" w:hAnsi="宋体" w:cs="Times New Roman"/>
          <w:b/>
          <w:bCs/>
          <w:snapToGrid w:val="0"/>
          <w:kern w:val="0"/>
          <w:szCs w:val="21"/>
          <w:highlight w:val="none"/>
          <w:lang w:val="en-US"/>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选定后，两个项目分别与委托单位签订第三方工程质量评估服务合同（二次）。</w:t>
      </w:r>
    </w:p>
    <w:p w14:paraId="70D324BA">
      <w:pPr>
        <w:pStyle w:val="45"/>
        <w:rPr>
          <w:rFonts w:hint="eastAsia"/>
        </w:rPr>
      </w:pPr>
    </w:p>
    <w:p w14:paraId="7FE8BAFF">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42A44673">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2.1投标人具有独立法人资格或是具有独立承担民事责任能力的其它组织；</w:t>
      </w:r>
    </w:p>
    <w:p w14:paraId="6FE4C7CF">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2.2本项目不接受被检查项目的施工、监理等单位的投标，亦不接受与被检查项目的施工、监理等单位有行政隶属关系和利害关联的单位投标；</w:t>
      </w:r>
    </w:p>
    <w:p w14:paraId="17778654">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2.3不接受联合体投标。</w:t>
      </w:r>
    </w:p>
    <w:p w14:paraId="019BE0B2">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661A4A3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无需</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65827167">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02BAE32A">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07510F8D">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0885EE21">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2B8A281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61E8DE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26C2090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1F7FF7E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2B5CB0F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2F3E9ED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70C7D7E7">
      <w:pPr>
        <w:spacing w:line="360" w:lineRule="auto"/>
        <w:ind w:firstLine="420" w:firstLineChars="200"/>
        <w:jc w:val="left"/>
        <w:rPr>
          <w:rFonts w:ascii="宋体" w:hAnsi="宋体"/>
          <w:snapToGrid w:val="0"/>
          <w:kern w:val="0"/>
          <w:szCs w:val="21"/>
          <w:highlight w:val="none"/>
        </w:rPr>
      </w:pPr>
    </w:p>
    <w:p w14:paraId="0ED1F32A">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5A34D404">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09E8DFA7">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6FEE87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051EC090">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4CE68F0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w:t>
      </w:r>
      <w:r>
        <w:rPr>
          <w:rFonts w:hint="eastAsia" w:ascii="宋体" w:hAnsi="宋体"/>
          <w:snapToGrid w:val="0"/>
          <w:kern w:val="0"/>
          <w:szCs w:val="21"/>
          <w:highlight w:val="none"/>
          <w:lang w:eastAsia="zh-CN"/>
        </w:rPr>
        <w:t>标注</w:t>
      </w:r>
      <w:r>
        <w:rPr>
          <w:rFonts w:hint="eastAsia" w:ascii="宋体" w:hAnsi="宋体"/>
          <w:snapToGrid w:val="0"/>
          <w:kern w:val="0"/>
          <w:szCs w:val="21"/>
          <w:highlight w:val="none"/>
        </w:rPr>
        <w:t>，招标人不承担投标文件错放或提前开封的责任。</w:t>
      </w:r>
    </w:p>
    <w:p w14:paraId="7A2DC8DA">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3BA4E15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08FDC42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bookmarkStart w:id="6" w:name="_Toc509669689"/>
    </w:p>
    <w:p w14:paraId="2E2C06A2">
      <w:pPr>
        <w:spacing w:line="360" w:lineRule="auto"/>
        <w:ind w:firstLine="643" w:firstLineChars="200"/>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0F7A717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0857490D">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lang w:eastAsia="zh-CN"/>
        </w:rPr>
        <w:t>深圳市龙岗区城投新基础设施建设管理有限公司</w:t>
      </w:r>
      <w:r>
        <w:rPr>
          <w:rFonts w:hint="eastAsia" w:ascii="宋体" w:hAnsi="宋体"/>
          <w:szCs w:val="21"/>
          <w:highlight w:val="none"/>
        </w:rPr>
        <w:t>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25DF2DE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7A7D85A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150924A4">
      <w:pPr>
        <w:spacing w:line="360" w:lineRule="auto"/>
        <w:jc w:val="center"/>
        <w:outlineLvl w:val="2"/>
        <w:rPr>
          <w:rFonts w:hint="eastAsia" w:ascii="宋体" w:hAnsi="宋体"/>
          <w:b/>
          <w:snapToGrid w:val="0"/>
          <w:kern w:val="0"/>
          <w:sz w:val="32"/>
          <w:szCs w:val="32"/>
          <w:highlight w:val="none"/>
        </w:rPr>
      </w:pPr>
      <w:bookmarkStart w:id="7" w:name="_Toc509669690"/>
    </w:p>
    <w:p w14:paraId="1840F6C8">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2D319A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364A9421">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52873F5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2AB65D8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3EBCCC73">
      <w:pPr>
        <w:spacing w:line="360" w:lineRule="auto"/>
        <w:jc w:val="center"/>
        <w:outlineLvl w:val="2"/>
        <w:rPr>
          <w:rFonts w:hint="eastAsia" w:ascii="宋体" w:hAnsi="宋体"/>
          <w:b/>
          <w:snapToGrid w:val="0"/>
          <w:kern w:val="0"/>
          <w:sz w:val="32"/>
          <w:szCs w:val="32"/>
          <w:highlight w:val="none"/>
        </w:rPr>
      </w:pPr>
      <w:bookmarkStart w:id="8" w:name="_Toc509669691"/>
    </w:p>
    <w:p w14:paraId="3781867A">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4374C37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30B33007">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1E26DAC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208515B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2A5324C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039342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164F1DC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386BF26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2625BA6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C2C1F5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1469B1E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73AB78F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3107D76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D798DB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5798968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109809AF">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20492F0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677BE52">
      <w:pPr>
        <w:spacing w:line="360" w:lineRule="auto"/>
        <w:jc w:val="center"/>
        <w:outlineLvl w:val="2"/>
        <w:rPr>
          <w:rFonts w:hint="eastAsia" w:ascii="宋体" w:hAnsi="宋体"/>
          <w:b/>
          <w:snapToGrid w:val="0"/>
          <w:kern w:val="0"/>
          <w:sz w:val="32"/>
          <w:szCs w:val="32"/>
          <w:highlight w:val="none"/>
        </w:rPr>
      </w:pPr>
      <w:bookmarkStart w:id="9" w:name="_Toc509669692"/>
    </w:p>
    <w:p w14:paraId="22D2EB1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47D526A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5C0AA02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4D272F9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440C8EE0">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2653087E">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02F45077">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57B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C4F10D8">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5B07FD5B">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59B4E867">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4856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79AFFAE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4AA96306">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317FCC6E">
            <w:pPr>
              <w:pStyle w:val="30"/>
              <w:rPr>
                <w:rFonts w:hint="eastAsia" w:hAnsi="宋体" w:eastAsia="宋体"/>
                <w:sz w:val="24"/>
                <w:szCs w:val="24"/>
                <w:highlight w:val="none"/>
                <w:lang w:eastAsia="zh-CN"/>
              </w:rPr>
            </w:pPr>
            <w:r>
              <w:rPr>
                <w:rFonts w:hint="eastAsia" w:hAnsi="宋体"/>
                <w:sz w:val="24"/>
                <w:szCs w:val="24"/>
                <w:highlight w:val="none"/>
              </w:rPr>
              <w:t>提供营业执照复印件、资质证书复印件</w:t>
            </w:r>
            <w:r>
              <w:rPr>
                <w:rFonts w:hint="eastAsia" w:hAnsi="宋体"/>
                <w:sz w:val="24"/>
                <w:szCs w:val="24"/>
                <w:highlight w:val="none"/>
                <w:lang w:val="en-US" w:eastAsia="zh-CN"/>
              </w:rPr>
              <w:t>(如有）</w:t>
            </w:r>
            <w:r>
              <w:rPr>
                <w:rFonts w:hint="eastAsia" w:hAnsi="宋体"/>
                <w:sz w:val="24"/>
                <w:szCs w:val="24"/>
                <w:highlight w:val="none"/>
              </w:rPr>
              <w:t>、法定代表人证明书及身份证复印件、法定代表人授权委托书及身份证复印件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19A6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131081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56AE1FB">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6C3A1474">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4979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3F46DA17">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575E961">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19467425">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060CCD41">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0F8D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6EB95C90">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7835B501">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42BE14AF">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4A1F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3114055F">
            <w:pPr>
              <w:pStyle w:val="98"/>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lang w:val="en-US" w:eastAsia="zh-CN"/>
              </w:rPr>
              <w:t>5</w:t>
            </w:r>
          </w:p>
        </w:tc>
        <w:tc>
          <w:tcPr>
            <w:tcW w:w="3234" w:type="dxa"/>
            <w:vAlign w:val="center"/>
          </w:tcPr>
          <w:p w14:paraId="7FA387EC">
            <w:pPr>
              <w:pStyle w:val="98"/>
              <w:spacing w:line="360" w:lineRule="exact"/>
              <w:ind w:firstLine="0" w:firstLineChars="0"/>
              <w:jc w:val="left"/>
              <w:rPr>
                <w:rFonts w:hint="eastAsia" w:ascii="宋体" w:hAnsi="宋体" w:cs="宋体"/>
                <w:kern w:val="0"/>
                <w:sz w:val="24"/>
                <w:szCs w:val="24"/>
                <w:highlight w:val="none"/>
                <w:lang w:val="en-US" w:eastAsia="zh-CN"/>
              </w:rPr>
            </w:pPr>
            <w:r>
              <w:rPr>
                <w:rFonts w:hint="eastAsia" w:ascii="宋体" w:hAnsi="宋体" w:cs="宋体"/>
                <w:kern w:val="0"/>
                <w:sz w:val="24"/>
                <w:szCs w:val="24"/>
                <w:lang w:val="en-US" w:eastAsia="zh-CN"/>
              </w:rPr>
              <w:t>商务标</w:t>
            </w:r>
          </w:p>
        </w:tc>
        <w:tc>
          <w:tcPr>
            <w:tcW w:w="5095" w:type="dxa"/>
            <w:vAlign w:val="center"/>
          </w:tcPr>
          <w:p w14:paraId="2ADAA4D9">
            <w:pPr>
              <w:pStyle w:val="98"/>
              <w:spacing w:line="360" w:lineRule="exact"/>
              <w:ind w:firstLine="0" w:firstLineChars="0"/>
              <w:jc w:val="left"/>
              <w:rPr>
                <w:rFonts w:hint="eastAsia" w:hAnsi="宋体"/>
                <w:sz w:val="24"/>
                <w:szCs w:val="24"/>
                <w:highlight w:val="none"/>
              </w:rPr>
            </w:pPr>
            <w:r>
              <w:rPr>
                <w:rFonts w:hint="eastAsia" w:ascii="宋体" w:hAnsi="宋体"/>
                <w:sz w:val="24"/>
                <w:szCs w:val="24"/>
                <w:highlight w:val="none"/>
                <w:lang w:val="en-US" w:eastAsia="zh-CN"/>
              </w:rPr>
              <w:t>按要求提供</w:t>
            </w:r>
          </w:p>
        </w:tc>
      </w:tr>
      <w:tr w14:paraId="3A0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2C80F3B7">
            <w:pPr>
              <w:pStyle w:val="98"/>
              <w:spacing w:line="360" w:lineRule="exact"/>
              <w:ind w:firstLine="0" w:firstLineChars="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6</w:t>
            </w:r>
          </w:p>
        </w:tc>
        <w:tc>
          <w:tcPr>
            <w:tcW w:w="3234" w:type="dxa"/>
            <w:vAlign w:val="center"/>
          </w:tcPr>
          <w:p w14:paraId="4ACF4687">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5748BFFB">
            <w:pPr>
              <w:pStyle w:val="30"/>
              <w:rPr>
                <w:rFonts w:hAnsi="宋体"/>
                <w:sz w:val="24"/>
                <w:szCs w:val="24"/>
                <w:highlight w:val="none"/>
              </w:rPr>
            </w:pPr>
            <w:r>
              <w:rPr>
                <w:rFonts w:hint="eastAsia" w:hAnsi="宋体"/>
                <w:sz w:val="24"/>
                <w:szCs w:val="24"/>
                <w:highlight w:val="none"/>
              </w:rPr>
              <w:t>如有</w:t>
            </w:r>
          </w:p>
        </w:tc>
      </w:tr>
    </w:tbl>
    <w:p w14:paraId="41C5A8B6">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05094288">
      <w:pPr>
        <w:widowControl/>
        <w:spacing w:beforeLines="-2147483648" w:afterLines="-2147483648"/>
        <w:jc w:val="left"/>
        <w:rPr>
          <w:rFonts w:hint="eastAsia" w:ascii="黑体" w:eastAsia="黑体"/>
          <w:snapToGrid w:val="0"/>
          <w:kern w:val="0"/>
          <w:sz w:val="32"/>
          <w:szCs w:val="32"/>
          <w:highlight w:val="none"/>
        </w:rPr>
      </w:pPr>
    </w:p>
    <w:p w14:paraId="1E8F7BA6">
      <w:pPr>
        <w:pStyle w:val="101"/>
        <w:widowControl/>
        <w:spacing w:line="560" w:lineRule="exact"/>
        <w:rPr>
          <w:rFonts w:ascii="仿宋" w:hAnsi="仿宋" w:eastAsia="仿宋"/>
          <w:b/>
          <w:sz w:val="30"/>
          <w:szCs w:val="30"/>
          <w:highlight w:val="none"/>
        </w:rPr>
      </w:pPr>
    </w:p>
    <w:p w14:paraId="433D6C8C">
      <w:pPr>
        <w:rPr>
          <w:rFonts w:ascii="仿宋" w:hAnsi="仿宋" w:eastAsia="仿宋"/>
          <w:b/>
          <w:sz w:val="30"/>
          <w:szCs w:val="30"/>
          <w:highlight w:val="none"/>
        </w:rPr>
      </w:pPr>
      <w:r>
        <w:rPr>
          <w:rFonts w:ascii="仿宋" w:hAnsi="仿宋" w:eastAsia="仿宋"/>
          <w:b/>
          <w:sz w:val="30"/>
          <w:szCs w:val="30"/>
          <w:highlight w:val="none"/>
        </w:rPr>
        <w:br w:type="page"/>
      </w:r>
    </w:p>
    <w:p w14:paraId="3C578158">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509669694"/>
      <w:bookmarkStart w:id="11" w:name="_Toc151020524"/>
      <w:bookmarkStart w:id="12"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7E87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0F8AB42E">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9D95E3E">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4C3BA67A">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00FB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26C67EE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223B0453">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4C64AFDC">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4B288A10">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06208104">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04E0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6B9D212E">
            <w:pPr>
              <w:widowControl/>
              <w:adjustRightInd w:val="0"/>
              <w:snapToGrid w:val="0"/>
              <w:spacing w:before="80" w:after="8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p w14:paraId="5C0D57A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p>
        </w:tc>
        <w:tc>
          <w:tcPr>
            <w:tcW w:w="1563" w:type="dxa"/>
            <w:vAlign w:val="center"/>
          </w:tcPr>
          <w:p w14:paraId="19EF389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31B37783">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002230EB">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738A6874">
            <w:pPr>
              <w:widowControl/>
              <w:numPr>
                <w:ilvl w:val="255"/>
                <w:numId w:val="0"/>
              </w:numPr>
              <w:adjustRightInd w:val="0"/>
              <w:snapToGrid w:val="0"/>
              <w:spacing w:before="80" w:after="80" w:line="0" w:lineRule="atLeast"/>
              <w:ind w:left="0" w:leftChars="0" w:firstLine="0" w:firstLineChars="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26AD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2A9F85E7">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3</w:t>
            </w:r>
          </w:p>
        </w:tc>
        <w:tc>
          <w:tcPr>
            <w:tcW w:w="1563" w:type="dxa"/>
            <w:vAlign w:val="center"/>
          </w:tcPr>
          <w:p w14:paraId="1BE3BC7D">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477B69E8">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00FEBC61">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7D3C99D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7F10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289EA31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4</w:t>
            </w:r>
          </w:p>
        </w:tc>
        <w:tc>
          <w:tcPr>
            <w:tcW w:w="1563" w:type="dxa"/>
            <w:vAlign w:val="center"/>
          </w:tcPr>
          <w:p w14:paraId="18536152">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6370C5C8">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217E4845">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2F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2B0C676">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5</w:t>
            </w:r>
          </w:p>
        </w:tc>
        <w:tc>
          <w:tcPr>
            <w:tcW w:w="1563" w:type="dxa"/>
            <w:vAlign w:val="center"/>
          </w:tcPr>
          <w:p w14:paraId="7F06BF7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69B16D7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评估</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包括服务需求任务分解情况、</w:t>
            </w:r>
            <w:r>
              <w:rPr>
                <w:rFonts w:hint="eastAsia" w:ascii="仿宋_GB2312" w:hAnsi="仿宋_GB2312" w:eastAsia="仿宋_GB2312" w:cs="仿宋_GB2312"/>
                <w:color w:val="auto"/>
                <w:kern w:val="0"/>
                <w:sz w:val="28"/>
                <w:szCs w:val="28"/>
                <w:highlight w:val="none"/>
                <w:lang w:eastAsia="zh-CN"/>
              </w:rPr>
              <w:t>技术服务团队工作职责及运作安排情况、技术服务成果质量把控能力、过程资料及档案管理、其他相关事宜</w:t>
            </w:r>
            <w:r>
              <w:rPr>
                <w:rFonts w:hint="eastAsia" w:ascii="仿宋_GB2312" w:hAnsi="仿宋_GB2312" w:eastAsia="仿宋_GB2312" w:cs="仿宋_GB2312"/>
                <w:color w:val="auto"/>
                <w:kern w:val="0"/>
                <w:sz w:val="28"/>
                <w:szCs w:val="28"/>
                <w:highlight w:val="none"/>
                <w:lang w:val="en-US" w:eastAsia="zh-CN"/>
              </w:rPr>
              <w:t>等。</w:t>
            </w:r>
          </w:p>
        </w:tc>
      </w:tr>
    </w:tbl>
    <w:p w14:paraId="0ECBF70A">
      <w:pPr>
        <w:pStyle w:val="26"/>
        <w:jc w:val="center"/>
        <w:rPr>
          <w:rFonts w:hint="eastAsia"/>
          <w:b/>
          <w:sz w:val="36"/>
          <w:szCs w:val="36"/>
          <w:highlight w:val="none"/>
        </w:rPr>
      </w:pPr>
    </w:p>
    <w:p w14:paraId="696E1903">
      <w:pPr>
        <w:rPr>
          <w:rFonts w:hint="eastAsia"/>
          <w:b/>
          <w:sz w:val="36"/>
          <w:szCs w:val="36"/>
          <w:highlight w:val="none"/>
        </w:rPr>
      </w:pPr>
      <w:r>
        <w:rPr>
          <w:rFonts w:hint="eastAsia"/>
          <w:b/>
          <w:sz w:val="36"/>
          <w:szCs w:val="36"/>
          <w:highlight w:val="none"/>
        </w:rPr>
        <w:br w:type="page"/>
      </w:r>
    </w:p>
    <w:bookmarkEnd w:id="10"/>
    <w:bookmarkEnd w:id="11"/>
    <w:bookmarkEnd w:id="12"/>
    <w:p w14:paraId="53486A83">
      <w:pPr>
        <w:spacing w:after="120"/>
        <w:ind w:left="420" w:leftChars="200"/>
        <w:jc w:val="center"/>
        <w:rPr>
          <w:rFonts w:ascii="宋体" w:hAnsi="宋体" w:cs="宋体"/>
          <w:sz w:val="24"/>
          <w:szCs w:val="24"/>
        </w:rPr>
      </w:pPr>
      <w:r>
        <w:rPr>
          <w:rFonts w:hint="eastAsia"/>
          <w:b/>
          <w:sz w:val="36"/>
          <w:szCs w:val="36"/>
        </w:rPr>
        <w:t>第三章  合同文件</w:t>
      </w:r>
    </w:p>
    <w:p w14:paraId="5E0E49AC">
      <w:pPr>
        <w:spacing w:after="120"/>
        <w:ind w:left="420" w:leftChars="200"/>
        <w:jc w:val="center"/>
        <w:rPr>
          <w:rFonts w:hint="default" w:cs="Times New Roman"/>
          <w:b/>
          <w:sz w:val="36"/>
          <w:szCs w:val="36"/>
          <w:lang w:val="en-US" w:eastAsia="zh-CN"/>
        </w:rPr>
      </w:pPr>
      <w:r>
        <w:rPr>
          <w:rFonts w:hint="eastAsia" w:cs="Times New Roman"/>
          <w:b/>
          <w:sz w:val="36"/>
          <w:szCs w:val="36"/>
          <w:lang w:val="en-US" w:eastAsia="zh-CN"/>
        </w:rPr>
        <w:t>详附件</w:t>
      </w:r>
    </w:p>
    <w:p w14:paraId="5DD490D0">
      <w:pPr>
        <w:spacing w:afterLines="100" w:line="360" w:lineRule="auto"/>
        <w:jc w:val="center"/>
        <w:rPr>
          <w:rFonts w:ascii="宋体" w:hAnsi="宋体"/>
          <w:b/>
          <w:sz w:val="48"/>
          <w:szCs w:val="48"/>
          <w:highlight w:val="none"/>
        </w:rPr>
      </w:pPr>
      <w:r>
        <w:rPr>
          <w:rFonts w:ascii="宋体" w:hAnsi="宋体"/>
          <w:szCs w:val="21"/>
          <w:highlight w:val="none"/>
        </w:rPr>
        <w:br w:type="page"/>
      </w:r>
    </w:p>
    <w:p w14:paraId="1855AF48">
      <w:pPr>
        <w:jc w:val="center"/>
        <w:rPr>
          <w:b/>
          <w:sz w:val="36"/>
          <w:szCs w:val="36"/>
        </w:rPr>
      </w:pPr>
      <w:r>
        <w:rPr>
          <w:rFonts w:hint="eastAsia"/>
          <w:b/>
          <w:sz w:val="36"/>
          <w:szCs w:val="36"/>
        </w:rPr>
        <w:t>第四章  投标文件格式</w:t>
      </w:r>
    </w:p>
    <w:p w14:paraId="1ADE81B0"/>
    <w:p w14:paraId="458CADA6">
      <w:pPr>
        <w:spacing w:after="312" w:afterLines="100" w:line="360" w:lineRule="auto"/>
        <w:jc w:val="center"/>
        <w:rPr>
          <w:rFonts w:ascii="宋体" w:hAnsi="宋体"/>
          <w:b/>
          <w:sz w:val="48"/>
          <w:szCs w:val="48"/>
        </w:rPr>
      </w:pPr>
      <w:r>
        <w:rPr>
          <w:rFonts w:ascii="宋体" w:hAnsi="宋体"/>
          <w:szCs w:val="21"/>
        </w:rPr>
        <w:br w:type="page"/>
      </w:r>
    </w:p>
    <w:p w14:paraId="56F94DFD">
      <w:pPr>
        <w:pStyle w:val="30"/>
        <w:ind w:firstLine="840"/>
      </w:pPr>
    </w:p>
    <w:p w14:paraId="50E761E1">
      <w:pPr>
        <w:spacing w:before="156" w:beforeLines="50" w:after="312" w:afterLines="100" w:line="360" w:lineRule="auto"/>
        <w:jc w:val="center"/>
        <w:rPr>
          <w:rFonts w:hint="eastAsia" w:ascii="宋体" w:hAnsi="宋体" w:eastAsia="宋体"/>
          <w:b/>
          <w:sz w:val="44"/>
          <w:szCs w:val="44"/>
          <w:lang w:val="en-US" w:eastAsia="zh-CN"/>
        </w:rPr>
      </w:pPr>
      <w:r>
        <w:rPr>
          <w:rFonts w:hint="eastAsia" w:ascii="宋体" w:hAnsi="宋体"/>
          <w:b/>
          <w:sz w:val="44"/>
          <w:szCs w:val="44"/>
          <w:lang w:val="en-US" w:eastAsia="zh-CN"/>
        </w:rPr>
        <w:t>第三方工程质量评估服务合同（二次）</w:t>
      </w:r>
    </w:p>
    <w:p w14:paraId="26D64388">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4B417A3E">
      <w:pPr>
        <w:spacing w:line="360" w:lineRule="auto"/>
        <w:jc w:val="center"/>
        <w:rPr>
          <w:rFonts w:ascii="宋体" w:hAnsi="宋体"/>
          <w:b/>
          <w:sz w:val="52"/>
          <w:szCs w:val="52"/>
        </w:rPr>
      </w:pPr>
    </w:p>
    <w:p w14:paraId="48294991">
      <w:pPr>
        <w:spacing w:line="360" w:lineRule="auto"/>
        <w:rPr>
          <w:rFonts w:ascii="宋体" w:hAnsi="宋体"/>
          <w:b/>
          <w:sz w:val="32"/>
          <w:szCs w:val="32"/>
        </w:rPr>
      </w:pPr>
    </w:p>
    <w:p w14:paraId="61E075FD">
      <w:pPr>
        <w:spacing w:line="360" w:lineRule="auto"/>
        <w:rPr>
          <w:rFonts w:ascii="宋体" w:hAnsi="宋体"/>
          <w:b/>
          <w:sz w:val="32"/>
          <w:szCs w:val="32"/>
        </w:rPr>
      </w:pPr>
    </w:p>
    <w:p w14:paraId="4CE45FAD">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1A7FCC95">
      <w:pPr>
        <w:spacing w:line="360" w:lineRule="auto"/>
        <w:ind w:firstLine="840" w:firstLineChars="300"/>
        <w:rPr>
          <w:rFonts w:ascii="宋体" w:hAnsi="宋体"/>
          <w:sz w:val="28"/>
          <w:szCs w:val="28"/>
        </w:rPr>
      </w:pPr>
    </w:p>
    <w:p w14:paraId="5FEB7B3D">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768F80D0">
      <w:pPr>
        <w:spacing w:line="360" w:lineRule="auto"/>
        <w:ind w:firstLine="840" w:firstLineChars="300"/>
        <w:rPr>
          <w:rFonts w:ascii="宋体" w:hAnsi="宋体"/>
          <w:sz w:val="28"/>
          <w:szCs w:val="28"/>
        </w:rPr>
      </w:pPr>
    </w:p>
    <w:p w14:paraId="14553DE4">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D10FCC1">
      <w:pPr>
        <w:rPr>
          <w:rFonts w:ascii="宋体" w:hAnsi="宋体"/>
          <w:sz w:val="28"/>
          <w:szCs w:val="28"/>
        </w:rPr>
      </w:pPr>
      <w:r>
        <w:rPr>
          <w:rFonts w:hint="eastAsia" w:ascii="宋体" w:hAnsi="宋体"/>
          <w:sz w:val="28"/>
          <w:szCs w:val="28"/>
        </w:rPr>
        <w:br w:type="page"/>
      </w:r>
    </w:p>
    <w:p w14:paraId="2294D9F7">
      <w:pPr>
        <w:pStyle w:val="30"/>
        <w:spacing w:line="520" w:lineRule="exact"/>
        <w:ind w:firstLine="0" w:firstLineChars="0"/>
        <w:jc w:val="center"/>
        <w:rPr>
          <w:sz w:val="36"/>
          <w:szCs w:val="36"/>
        </w:rPr>
      </w:pPr>
      <w:bookmarkStart w:id="13" w:name="_Toc306716065"/>
      <w:bookmarkStart w:id="14" w:name="_Toc306716063"/>
      <w:bookmarkStart w:id="15" w:name="_Toc509669700"/>
      <w:r>
        <w:rPr>
          <w:rFonts w:hint="eastAsia"/>
          <w:sz w:val="36"/>
          <w:szCs w:val="36"/>
        </w:rPr>
        <w:t>投标承诺函</w:t>
      </w:r>
    </w:p>
    <w:p w14:paraId="54BD4F62">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sz w:val="24"/>
          <w:szCs w:val="24"/>
          <w:u w:val="single"/>
          <w:lang w:eastAsia="zh-CN"/>
        </w:rPr>
        <w:t>深圳市龙岗区城投新基础设施建设管理有限公司</w:t>
      </w:r>
    </w:p>
    <w:p w14:paraId="17DBD890">
      <w:pPr>
        <w:pStyle w:val="30"/>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lang w:val="en-US" w:eastAsia="zh-CN"/>
        </w:rPr>
        <w:t xml:space="preserve"> </w:t>
      </w:r>
      <w:r>
        <w:rPr>
          <w:rFonts w:hint="eastAsia" w:ascii="Calibri" w:hAnsi="宋体" w:cs="Times New Roman"/>
          <w:bCs/>
          <w:kern w:val="2"/>
          <w:sz w:val="24"/>
          <w:szCs w:val="24"/>
          <w:highlight w:val="none"/>
          <w:u w:val="single"/>
          <w:lang w:val="en-US" w:eastAsia="zh-CN" w:bidi="ar-SA"/>
        </w:rPr>
        <w:t xml:space="preserve">第三方工程质量评估服务合同（二次） </w:t>
      </w:r>
      <w:r>
        <w:rPr>
          <w:rFonts w:hint="eastAsia" w:hAnsi="宋体"/>
          <w:bCs/>
          <w:sz w:val="24"/>
          <w:szCs w:val="24"/>
          <w:highlight w:val="none"/>
        </w:rPr>
        <w:t>的招标文件所有内容，为此作出如下承诺：</w:t>
      </w:r>
    </w:p>
    <w:p w14:paraId="3FA951DF">
      <w:pPr>
        <w:pStyle w:val="30"/>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58E3FED8">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333A1B2E">
      <w:pPr>
        <w:pStyle w:val="30"/>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AA140C7">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5FC877C1">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36F786DB">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37C9484C">
      <w:pPr>
        <w:pStyle w:val="30"/>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67DD3AE6">
      <w:pPr>
        <w:pStyle w:val="30"/>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51B88638">
      <w:pPr>
        <w:pStyle w:val="30"/>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0DF853F4">
      <w:pPr>
        <w:pStyle w:val="30"/>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EFF29E0">
      <w:pPr>
        <w:pStyle w:val="30"/>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E75D1C9">
      <w:pPr>
        <w:spacing w:line="360" w:lineRule="auto"/>
        <w:rPr>
          <w:rFonts w:ascii="宋体" w:hAnsi="宋体"/>
          <w:sz w:val="24"/>
          <w:highlight w:val="none"/>
        </w:rPr>
      </w:pPr>
      <w:r>
        <w:rPr>
          <w:rFonts w:hint="eastAsia" w:ascii="宋体" w:hAnsi="宋体"/>
          <w:sz w:val="24"/>
          <w:highlight w:val="none"/>
        </w:rPr>
        <w:t>投标人（单位公章）：</w:t>
      </w:r>
    </w:p>
    <w:p w14:paraId="6A3C99B5">
      <w:pPr>
        <w:spacing w:line="360" w:lineRule="auto"/>
        <w:rPr>
          <w:rFonts w:ascii="宋体" w:hAnsi="宋体"/>
          <w:sz w:val="24"/>
          <w:highlight w:val="none"/>
        </w:rPr>
      </w:pPr>
      <w:r>
        <w:rPr>
          <w:rFonts w:hint="eastAsia" w:ascii="宋体" w:hAnsi="宋体"/>
          <w:sz w:val="24"/>
          <w:highlight w:val="none"/>
        </w:rPr>
        <w:t>单位地址：</w:t>
      </w:r>
    </w:p>
    <w:p w14:paraId="56BF29A9">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2783805F">
      <w:pPr>
        <w:spacing w:line="360" w:lineRule="auto"/>
        <w:ind w:firstLine="0" w:firstLineChars="0"/>
        <w:rPr>
          <w:rFonts w:hint="eastAsia" w:hAnsi="宋体"/>
          <w:bCs/>
          <w:sz w:val="24"/>
          <w:highlight w:val="none"/>
        </w:rPr>
      </w:pPr>
      <w:r>
        <w:rPr>
          <w:rFonts w:hint="eastAsia" w:hAnsi="宋体"/>
          <w:bCs/>
          <w:sz w:val="24"/>
          <w:highlight w:val="none"/>
        </w:rPr>
        <w:t>年   月   日</w:t>
      </w:r>
    </w:p>
    <w:p w14:paraId="1499FAA0">
      <w:pPr>
        <w:pStyle w:val="2"/>
        <w:rPr>
          <w:rFonts w:hint="eastAsia" w:hAnsi="宋体"/>
          <w:bCs/>
          <w:sz w:val="24"/>
        </w:rPr>
      </w:pPr>
    </w:p>
    <w:p w14:paraId="632F6FC1">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6BCF24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项目：第三方工程质量评估服务合同（二次）</w:t>
      </w:r>
    </w:p>
    <w:tbl>
      <w:tblPr>
        <w:tblStyle w:val="53"/>
        <w:tblW w:w="84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74BE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4B08F02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在建项目工程质量第三方评估咨询报价清单</w:t>
            </w:r>
          </w:p>
        </w:tc>
      </w:tr>
      <w:tr w14:paraId="674D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0E13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1C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C1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953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C98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590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4DB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BC79D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25C1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550802">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0436">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8472">
            <w:pPr>
              <w:jc w:val="center"/>
              <w:rPr>
                <w:rFonts w:hint="eastAsia" w:ascii="宋体" w:hAnsi="宋体" w:eastAsia="宋体" w:cs="宋体"/>
                <w:b/>
                <w:bCs/>
                <w:i w:val="0"/>
                <w:iCs w:val="0"/>
                <w:color w:val="000000"/>
                <w:sz w:val="22"/>
                <w:szCs w:val="22"/>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E57B">
            <w:pPr>
              <w:jc w:val="center"/>
              <w:rPr>
                <w:rFonts w:hint="eastAsia" w:ascii="宋体" w:hAnsi="宋体" w:eastAsia="宋体" w:cs="宋体"/>
                <w:b/>
                <w:bCs/>
                <w:i w:val="0"/>
                <w:iCs w:val="0"/>
                <w:color w:val="000000"/>
                <w:sz w:val="22"/>
                <w:szCs w:val="22"/>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F0F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41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3C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C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6A539B">
            <w:pPr>
              <w:jc w:val="center"/>
              <w:rPr>
                <w:rFonts w:hint="eastAsia" w:ascii="宋体" w:hAnsi="宋体" w:eastAsia="宋体" w:cs="宋体"/>
                <w:b/>
                <w:bCs/>
                <w:i w:val="0"/>
                <w:iCs w:val="0"/>
                <w:color w:val="000000"/>
                <w:sz w:val="22"/>
                <w:szCs w:val="22"/>
                <w:highlight w:val="none"/>
                <w:u w:val="none"/>
              </w:rPr>
            </w:pPr>
          </w:p>
        </w:tc>
      </w:tr>
      <w:tr w14:paraId="2033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ED2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26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FF6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F9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B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88F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2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46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44B0B63">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过程评估每次检查时间为1个工日/项目</w:t>
            </w:r>
          </w:p>
        </w:tc>
      </w:tr>
      <w:tr w14:paraId="208F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BB498F">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EA51">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6E17">
            <w:pPr>
              <w:widowControl/>
              <w:spacing w:line="240" w:lineRule="auto"/>
              <w:jc w:val="center"/>
              <w:rPr>
                <w:rFonts w:hint="eastAsia" w:ascii="宋体" w:hAnsi="宋体" w:eastAsia="宋体" w:cs="宋体"/>
                <w:i w:val="0"/>
                <w:iCs w:val="0"/>
                <w:color w:val="000000"/>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94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2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BBBA">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4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0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E7D3BF2">
            <w:pPr>
              <w:widowControl/>
              <w:spacing w:line="240" w:lineRule="auto"/>
              <w:jc w:val="center"/>
              <w:rPr>
                <w:rFonts w:hint="eastAsia" w:ascii="宋体" w:hAnsi="宋体" w:eastAsia="宋体" w:cs="宋体"/>
                <w:i w:val="0"/>
                <w:iCs w:val="0"/>
                <w:color w:val="000000"/>
                <w:sz w:val="24"/>
                <w:szCs w:val="24"/>
                <w:highlight w:val="none"/>
                <w:u w:val="none"/>
              </w:rPr>
            </w:pPr>
          </w:p>
        </w:tc>
      </w:tr>
      <w:tr w14:paraId="4EAC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79BE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52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0A3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实测实量质量观感渗漏试验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2B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2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0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E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D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FF7E88C">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交付评估每次检查时间为2个工日/项目</w:t>
            </w:r>
          </w:p>
        </w:tc>
      </w:tr>
      <w:tr w14:paraId="3CF5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EBEEDF">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88B9">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A261">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365">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54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87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7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CE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6247B44">
            <w:pPr>
              <w:jc w:val="center"/>
              <w:rPr>
                <w:rFonts w:hint="eastAsia" w:ascii="宋体" w:hAnsi="宋体" w:eastAsia="宋体" w:cs="宋体"/>
                <w:i w:val="0"/>
                <w:iCs w:val="0"/>
                <w:color w:val="000000"/>
                <w:sz w:val="22"/>
                <w:szCs w:val="22"/>
                <w:highlight w:val="none"/>
                <w:u w:val="none"/>
              </w:rPr>
            </w:pPr>
          </w:p>
        </w:tc>
      </w:tr>
      <w:tr w14:paraId="4E9C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8B5952">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7713">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BF98">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22E857FD">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794CD0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4BA0A2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437A8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2B524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826C17F">
            <w:pPr>
              <w:jc w:val="center"/>
              <w:rPr>
                <w:rFonts w:hint="eastAsia" w:ascii="宋体" w:hAnsi="宋体" w:eastAsia="宋体" w:cs="宋体"/>
                <w:i w:val="0"/>
                <w:iCs w:val="0"/>
                <w:color w:val="000000"/>
                <w:sz w:val="22"/>
                <w:szCs w:val="22"/>
                <w:highlight w:val="none"/>
                <w:u w:val="none"/>
              </w:rPr>
            </w:pPr>
          </w:p>
        </w:tc>
      </w:tr>
      <w:tr w14:paraId="34D2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6612EF2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635BA2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3059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A0F5CCC">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注：1.采用含税固定综合单价的形式，除双方另有约定外，甲方无需再向乙方支付任何其他费用，合同履行期间，以上综合单价不会因为物价、市场波动、费率或汇率的变动等任何因素而调整；</w:t>
            </w:r>
          </w:p>
          <w:p w14:paraId="1F7A998B">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2.综合单价包含前往甲方所在项目地点，完成约定检查评估工作的全部费用，其中包括但不限于人工费、税费、差旅、食宿、交通、检验检测费、专利使用费（若有）等一切相关费用。</w:t>
            </w:r>
          </w:p>
          <w:p w14:paraId="7D9D8EE6">
            <w:pPr>
              <w:pStyle w:val="169"/>
              <w:pageBreakBefore w:val="0"/>
              <w:widowControl w:val="0"/>
              <w:kinsoku/>
              <w:wordWrap/>
              <w:overflowPunct/>
              <w:topLinePunct w:val="0"/>
              <w:bidi w:val="0"/>
              <w:adjustRightInd w:val="0"/>
              <w:snapToGrid w:val="0"/>
              <w:spacing w:after="95" w:afterLines="30" w:line="240" w:lineRule="auto"/>
              <w:ind w:firstLine="482"/>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根据材料，评估咨询报价清单按服务工日报价，结算按评估次数结算，如单次评估服务时长实际超过备注</w:t>
            </w:r>
            <w:r>
              <w:rPr>
                <w:rFonts w:hint="eastAsia" w:ascii="宋体" w:hAnsi="宋体" w:eastAsia="宋体" w:cs="宋体"/>
                <w:b w:val="0"/>
                <w:bCs w:val="0"/>
                <w:color w:val="auto"/>
                <w:sz w:val="24"/>
                <w:highlight w:val="none"/>
                <w:lang w:val="en-US" w:eastAsia="zh-CN"/>
              </w:rPr>
              <w:t>工日，结算不另外增加费用</w:t>
            </w:r>
            <w:r>
              <w:rPr>
                <w:rFonts w:hint="eastAsia" w:ascii="宋体" w:hAnsi="宋体" w:eastAsia="宋体" w:cs="宋体"/>
                <w:b w:val="0"/>
                <w:bCs w:val="0"/>
                <w:color w:val="auto"/>
                <w:sz w:val="24"/>
                <w:highlight w:val="none"/>
              </w:rPr>
              <w:t>；</w:t>
            </w:r>
          </w:p>
          <w:p w14:paraId="5CA45310">
            <w:pPr>
              <w:pStyle w:val="169"/>
              <w:adjustRightInd w:val="0"/>
              <w:snapToGrid w:val="0"/>
              <w:spacing w:after="95" w:afterLines="30" w:line="240" w:lineRule="auto"/>
              <w:ind w:firstLine="482"/>
              <w:rPr>
                <w:rFonts w:hint="eastAsia"/>
                <w:color w:val="auto"/>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每次检查时间为1个工日/项目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交付评估为2</w:t>
            </w:r>
            <w:r>
              <w:rPr>
                <w:rFonts w:hint="eastAsia" w:ascii="宋体" w:hAnsi="宋体" w:eastAsia="宋体" w:cs="宋体"/>
                <w:b w:val="0"/>
                <w:bCs w:val="0"/>
                <w:color w:val="auto"/>
                <w:sz w:val="24"/>
                <w:highlight w:val="none"/>
              </w:rPr>
              <w:t>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，除检查时间外，前期第三方制定评估实施方案、后期总结评估报告等相关服务工作时长</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rPr>
              <w:t>计入单次服务天数</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合同价中综合考虑，结算不另外增加费用</w:t>
            </w:r>
            <w:r>
              <w:rPr>
                <w:rFonts w:hint="eastAsia" w:ascii="宋体" w:hAnsi="宋体" w:eastAsia="宋体" w:cs="宋体"/>
                <w:b w:val="0"/>
                <w:bCs w:val="0"/>
                <w:color w:val="auto"/>
                <w:sz w:val="24"/>
                <w:highlight w:val="none"/>
              </w:rPr>
              <w:t>。</w:t>
            </w:r>
          </w:p>
        </w:tc>
      </w:tr>
    </w:tbl>
    <w:p w14:paraId="2013BA73">
      <w:pPr>
        <w:spacing w:line="360" w:lineRule="auto"/>
        <w:ind w:firstLine="240" w:firstLineChars="100"/>
        <w:rPr>
          <w:rFonts w:hint="eastAsia" w:ascii="宋体" w:hAnsi="宋体"/>
          <w:sz w:val="24"/>
          <w:highlight w:val="none"/>
        </w:rPr>
      </w:pPr>
    </w:p>
    <w:p w14:paraId="2B321F21">
      <w:pPr>
        <w:spacing w:line="360" w:lineRule="auto"/>
        <w:ind w:firstLine="240" w:firstLineChars="100"/>
        <w:rPr>
          <w:rFonts w:hint="eastAsia" w:ascii="宋体" w:hAnsi="宋体"/>
          <w:sz w:val="24"/>
          <w:highlight w:val="none"/>
        </w:rPr>
      </w:pPr>
      <w:r>
        <w:rPr>
          <w:rFonts w:hint="eastAsia" w:ascii="宋体" w:hAnsi="宋体"/>
          <w:sz w:val="24"/>
          <w:highlight w:val="none"/>
        </w:rPr>
        <w:t>投标人（单位公章）：</w:t>
      </w:r>
      <w:bookmarkEnd w:id="13"/>
      <w:bookmarkEnd w:id="14"/>
      <w:bookmarkEnd w:id="15"/>
    </w:p>
    <w:p w14:paraId="1FEC0BC4">
      <w:pPr>
        <w:pStyle w:val="45"/>
        <w:rPr>
          <w:rFonts w:hint="eastAsia" w:ascii="宋体" w:hAnsi="宋体"/>
          <w:sz w:val="24"/>
          <w:highlight w:val="none"/>
        </w:rPr>
      </w:pPr>
    </w:p>
    <w:p w14:paraId="4DF12843">
      <w:pPr>
        <w:rPr>
          <w:rFonts w:hint="eastAsia" w:ascii="宋体" w:hAnsi="宋体"/>
          <w:sz w:val="24"/>
          <w:highlight w:val="none"/>
        </w:rPr>
      </w:pPr>
    </w:p>
    <w:p w14:paraId="28406B8E">
      <w:pPr>
        <w:rPr>
          <w:rFonts w:hint="eastAsia" w:ascii="宋体" w:hAnsi="宋体"/>
          <w:sz w:val="24"/>
          <w:highlight w:val="none"/>
        </w:rPr>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14:paraId="45459E67">
      <w:pPr>
        <w:pStyle w:val="5"/>
        <w:numPr>
          <w:ilvl w:val="0"/>
          <w:numId w:val="0"/>
        </w:numPr>
        <w:spacing w:line="360" w:lineRule="auto"/>
        <w:rPr>
          <w:rFonts w:ascii="宋体" w:hAnsi="宋体" w:cs="宋体"/>
          <w:sz w:val="24"/>
          <w:szCs w:val="24"/>
        </w:rPr>
      </w:pPr>
      <w:r>
        <w:rPr>
          <w:rFonts w:hint="eastAsia" w:ascii="宋体" w:hAnsi="宋体" w:cs="宋体"/>
          <w:sz w:val="24"/>
          <w:szCs w:val="24"/>
        </w:rPr>
        <w:t xml:space="preserve">附件          </w:t>
      </w:r>
    </w:p>
    <w:p w14:paraId="1C3B45FD">
      <w:pPr>
        <w:pStyle w:val="30"/>
        <w:spacing w:line="520" w:lineRule="exact"/>
        <w:ind w:firstLine="1285" w:firstLineChars="400"/>
        <w:jc w:val="left"/>
        <w:rPr>
          <w:rFonts w:hint="eastAsia" w:eastAsia="宋体"/>
          <w:lang w:eastAsia="zh-CN"/>
        </w:rPr>
      </w:pPr>
      <w:r>
        <w:rPr>
          <w:rStyle w:val="149"/>
          <w:rFonts w:hint="eastAsia" w:ascii="宋体" w:hAnsi="宋体" w:eastAsia="宋体" w:cs="宋体"/>
          <w:b/>
          <w:bCs/>
          <w:color w:val="auto"/>
          <w:sz w:val="32"/>
          <w:szCs w:val="32"/>
        </w:rPr>
        <w:t>龙岗区进一步规范政商交往行为告知书</w:t>
      </w:r>
    </w:p>
    <w:p w14:paraId="027C1BBA">
      <w:pPr>
        <w:pStyle w:val="30"/>
        <w:spacing w:line="520" w:lineRule="exact"/>
        <w:ind w:firstLine="480" w:firstLineChars="2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为深入构建“亲</w:t>
      </w:r>
      <w:r>
        <w:rPr>
          <w:rStyle w:val="150"/>
          <w:rFonts w:hint="default" w:hAnsi="宋体" w:cs="宋体"/>
          <w:color w:val="auto"/>
          <w:sz w:val="24"/>
          <w:szCs w:val="24"/>
          <w:lang w:val="en-US" w:eastAsia="zh-CN"/>
        </w:rPr>
        <w:t>”</w:t>
      </w:r>
      <w:r>
        <w:rPr>
          <w:rStyle w:val="150"/>
          <w:rFonts w:hint="eastAsia" w:hAnsi="宋体" w:cs="宋体"/>
          <w:color w:val="auto"/>
          <w:sz w:val="24"/>
          <w:szCs w:val="24"/>
          <w:lang w:val="en-US" w:eastAsia="zh-CN"/>
        </w:rPr>
        <w:t xml:space="preserve"> </w:t>
      </w:r>
      <w:r>
        <w:rPr>
          <w:rStyle w:val="150"/>
          <w:rFonts w:hint="eastAsia" w:ascii="宋体" w:hAnsi="宋体" w:eastAsia="宋体" w:cs="宋体"/>
          <w:color w:val="auto"/>
          <w:sz w:val="24"/>
          <w:szCs w:val="24"/>
        </w:rPr>
        <w:t>“清</w:t>
      </w:r>
      <w:r>
        <w:rPr>
          <w:rStyle w:val="150"/>
          <w:rFonts w:hint="default" w:hAnsi="宋体" w:cs="宋体"/>
          <w:color w:val="auto"/>
          <w:sz w:val="24"/>
          <w:szCs w:val="24"/>
          <w:lang w:val="en-US" w:eastAsia="zh-CN"/>
        </w:rPr>
        <w:t>”</w:t>
      </w:r>
      <w:r>
        <w:rPr>
          <w:rStyle w:val="150"/>
          <w:rFonts w:hint="eastAsia" w:ascii="宋体" w:hAnsi="宋体" w:eastAsia="宋体" w:cs="宋体"/>
          <w:color w:val="auto"/>
          <w:sz w:val="24"/>
          <w:szCs w:val="24"/>
        </w:rPr>
        <w:t>新型政商关系， 努力打造尊商</w:t>
      </w:r>
      <w:r>
        <w:rPr>
          <w:rStyle w:val="150"/>
          <w:rFonts w:hint="eastAsia" w:hAnsi="宋体" w:cs="宋体"/>
          <w:color w:val="auto"/>
          <w:sz w:val="24"/>
          <w:szCs w:val="24"/>
        </w:rPr>
        <w:t>、</w:t>
      </w:r>
      <w:r>
        <w:rPr>
          <w:rStyle w:val="150"/>
          <w:rFonts w:hint="eastAsia" w:ascii="宋体" w:hAnsi="宋体" w:eastAsia="宋体" w:cs="宋体"/>
          <w:color w:val="auto"/>
          <w:sz w:val="24"/>
          <w:szCs w:val="24"/>
        </w:rPr>
        <w:t>亲商</w:t>
      </w:r>
      <w:r>
        <w:rPr>
          <w:rStyle w:val="150"/>
          <w:rFonts w:hint="eastAsia" w:hAnsi="宋体" w:cs="宋体"/>
          <w:color w:val="auto"/>
          <w:sz w:val="24"/>
          <w:szCs w:val="24"/>
        </w:rPr>
        <w:t>、</w:t>
      </w:r>
      <w:r>
        <w:rPr>
          <w:rStyle w:val="150"/>
          <w:rFonts w:hint="eastAsia" w:ascii="宋体" w:hAnsi="宋体" w:eastAsia="宋体" w:cs="宋体"/>
          <w:color w:val="auto"/>
          <w:sz w:val="24"/>
          <w:szCs w:val="24"/>
        </w:rPr>
        <w:t>助商</w:t>
      </w:r>
      <w:r>
        <w:rPr>
          <w:rStyle w:val="150"/>
          <w:rFonts w:hint="eastAsia" w:hAnsi="宋体" w:cs="宋体"/>
          <w:color w:val="auto"/>
          <w:sz w:val="24"/>
          <w:szCs w:val="24"/>
        </w:rPr>
        <w:t>、</w:t>
      </w:r>
      <w:r>
        <w:rPr>
          <w:rStyle w:val="150"/>
          <w:rFonts w:hint="eastAsia" w:ascii="宋体" w:hAnsi="宋体" w:eastAsia="宋体" w:cs="宋体"/>
          <w:color w:val="auto"/>
          <w:sz w:val="24"/>
          <w:szCs w:val="24"/>
        </w:rPr>
        <w:t>安商良好营商环境</w:t>
      </w:r>
      <w:r>
        <w:rPr>
          <w:rStyle w:val="150"/>
          <w:rFonts w:hint="eastAsia" w:ascii="宋体" w:hAnsi="宋体" w:cs="宋体"/>
          <w:color w:val="auto"/>
          <w:sz w:val="24"/>
          <w:szCs w:val="24"/>
        </w:rPr>
        <w:t>，</w:t>
      </w:r>
      <w:r>
        <w:rPr>
          <w:rStyle w:val="150"/>
          <w:rFonts w:hint="eastAsia" w:ascii="宋体" w:hAnsi="宋体" w:eastAsia="宋体" w:cs="宋体"/>
          <w:color w:val="auto"/>
          <w:sz w:val="24"/>
          <w:szCs w:val="24"/>
        </w:rPr>
        <w:t xml:space="preserve">龙岗区委区政府制定了《龙岗区公职人员政商交往“十个不准” 》 ， 严明公职人员在政商交往中的纪律要求。请参与龙岗建设的广大企业及其从业人员， 严格监督我区公职人员落实“十个不准” </w:t>
      </w:r>
      <w:r>
        <w:rPr>
          <w:rStyle w:val="150"/>
          <w:rFonts w:hint="eastAsia" w:hAnsi="宋体" w:cs="宋体"/>
          <w:color w:val="auto"/>
          <w:sz w:val="24"/>
          <w:szCs w:val="24"/>
        </w:rPr>
        <w:t>，</w:t>
      </w:r>
      <w:r>
        <w:rPr>
          <w:rStyle w:val="150"/>
          <w:rFonts w:hint="eastAsia" w:ascii="宋体" w:hAnsi="宋体" w:eastAsia="宋体" w:cs="宋体"/>
          <w:color w:val="auto"/>
          <w:sz w:val="24"/>
          <w:szCs w:val="24"/>
        </w:rPr>
        <w:t>并在与我区公职人员交往中切实做到“十个不得” 。</w:t>
      </w:r>
    </w:p>
    <w:p w14:paraId="08EDAE38">
      <w:pPr>
        <w:pStyle w:val="30"/>
        <w:spacing w:line="520" w:lineRule="exact"/>
        <w:ind w:firstLine="480" w:firstLineChars="200"/>
        <w:jc w:val="left"/>
        <w:rPr>
          <w:rStyle w:val="150"/>
          <w:rFonts w:ascii="宋体" w:hAnsi="宋体" w:eastAsia="宋体" w:cs="宋体"/>
          <w:color w:val="auto"/>
          <w:sz w:val="24"/>
          <w:szCs w:val="24"/>
        </w:rPr>
      </w:pPr>
      <w:r>
        <w:rPr>
          <w:rStyle w:val="150"/>
          <w:rFonts w:hint="eastAsia" w:ascii="宋体" w:hAnsi="宋体" w:eastAsia="宋体" w:cs="宋体"/>
          <w:color w:val="auto"/>
          <w:sz w:val="24"/>
          <w:szCs w:val="24"/>
        </w:rPr>
        <w:t>一、 不得向公职人员赠送礼品、 礼金、 消费卡等财物。</w:t>
      </w:r>
    </w:p>
    <w:p w14:paraId="6BF7472F">
      <w:pPr>
        <w:pStyle w:val="30"/>
        <w:numPr>
          <w:ilvl w:val="0"/>
          <w:numId w:val="0"/>
        </w:numPr>
        <w:spacing w:line="520" w:lineRule="exact"/>
        <w:ind w:firstLine="480" w:firstLineChars="200"/>
        <w:rPr>
          <w:rStyle w:val="150"/>
          <w:rFonts w:ascii="宋体" w:hAnsi="宋体" w:eastAsia="宋体" w:cs="宋体"/>
          <w:color w:val="auto"/>
          <w:sz w:val="24"/>
          <w:szCs w:val="24"/>
        </w:rPr>
      </w:pPr>
      <w:r>
        <w:rPr>
          <w:rFonts w:hint="eastAsia" w:hAnsi="宋体" w:cs="宋体"/>
          <w:color w:val="auto"/>
          <w:kern w:val="2"/>
          <w:sz w:val="24"/>
          <w:szCs w:val="24"/>
          <w:lang w:val="en-US" w:eastAsia="zh-CN" w:bidi="ar-SA"/>
        </w:rPr>
        <w:t>二、</w:t>
      </w:r>
      <w:r>
        <w:rPr>
          <w:rStyle w:val="150"/>
          <w:rFonts w:hint="eastAsia" w:ascii="宋体" w:hAnsi="宋体" w:eastAsia="宋体" w:cs="宋体"/>
          <w:color w:val="auto"/>
          <w:sz w:val="24"/>
          <w:szCs w:val="24"/>
        </w:rPr>
        <w:t>不得违规向公职人员提供宴请、 旅游、 娱乐等安排。</w:t>
      </w:r>
    </w:p>
    <w:p w14:paraId="2B8090EF">
      <w:pPr>
        <w:pStyle w:val="30"/>
        <w:numPr>
          <w:ilvl w:val="0"/>
          <w:numId w:val="0"/>
        </w:numPr>
        <w:spacing w:line="520" w:lineRule="exact"/>
        <w:ind w:firstLine="480" w:firstLineChars="200"/>
        <w:rPr>
          <w:rStyle w:val="150"/>
          <w:rFonts w:ascii="宋体" w:hAnsi="宋体" w:eastAsia="宋体" w:cs="宋体"/>
          <w:color w:val="auto"/>
          <w:sz w:val="24"/>
          <w:szCs w:val="24"/>
        </w:rPr>
      </w:pPr>
      <w:r>
        <w:rPr>
          <w:rFonts w:hint="eastAsia" w:hAnsi="宋体" w:cs="宋体"/>
          <w:color w:val="auto"/>
          <w:kern w:val="2"/>
          <w:sz w:val="24"/>
          <w:szCs w:val="24"/>
          <w:lang w:val="en-US" w:eastAsia="zh-CN" w:bidi="ar-SA"/>
        </w:rPr>
        <w:t>三、</w:t>
      </w:r>
      <w:r>
        <w:rPr>
          <w:rStyle w:val="150"/>
          <w:rFonts w:hint="eastAsia" w:ascii="宋体" w:hAnsi="宋体" w:eastAsia="宋体" w:cs="宋体"/>
          <w:color w:val="auto"/>
          <w:sz w:val="24"/>
          <w:szCs w:val="24"/>
        </w:rPr>
        <w:t>不得通过打麻将等形式向公职人员输送利益。</w:t>
      </w:r>
    </w:p>
    <w:p w14:paraId="6970B3F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四、 不得为公职人员报销应由其个人支付的费用。</w:t>
      </w:r>
    </w:p>
    <w:p w14:paraId="29C4A7BB">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五、 不得违规向公职人员及其亲友借贷款。</w:t>
      </w:r>
    </w:p>
    <w:p w14:paraId="3945AE7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六、 不得违规将车辆、 住房等借给公职人员使用。</w:t>
      </w:r>
    </w:p>
    <w:p w14:paraId="1DF00E2B">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七、 不得在招投标中与公职人员搞暗箱操作、 围标串标。</w:t>
      </w:r>
    </w:p>
    <w:p w14:paraId="26A3903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八、 不得为利益相关人和公职人员牵线搭桥或者代为传递信息、 传递财物。</w:t>
      </w:r>
    </w:p>
    <w:p w14:paraId="641EDE4E">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九、 不得让公职人员在企业违规兼职取酬。</w:t>
      </w:r>
    </w:p>
    <w:p w14:paraId="2D443242">
      <w:pPr>
        <w:pStyle w:val="30"/>
        <w:numPr>
          <w:ilvl w:val="0"/>
          <w:numId w:val="0"/>
        </w:numPr>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十、 不得为公职人员亲友违规承揽业务提供便利。</w:t>
      </w:r>
    </w:p>
    <w:p w14:paraId="04BE1C7A">
      <w:pPr>
        <w:pStyle w:val="30"/>
        <w:spacing w:line="520" w:lineRule="exact"/>
        <w:ind w:firstLine="480" w:firstLineChars="2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1D526914">
      <w:pPr>
        <w:pStyle w:val="30"/>
        <w:spacing w:line="520" w:lineRule="exact"/>
        <w:ind w:firstLine="0" w:firstLineChars="0"/>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14E2ABB5">
      <w:pPr>
        <w:pStyle w:val="30"/>
        <w:spacing w:line="520" w:lineRule="exact"/>
        <w:ind w:firstLine="960" w:firstLineChars="400"/>
        <w:jc w:val="left"/>
        <w:rPr>
          <w:rStyle w:val="150"/>
          <w:rFonts w:hint="eastAsia" w:ascii="宋体" w:hAnsi="宋体" w:eastAsia="宋体" w:cs="宋体"/>
          <w:color w:val="auto"/>
          <w:sz w:val="24"/>
          <w:szCs w:val="24"/>
          <w:lang w:eastAsia="zh-CN"/>
        </w:rPr>
      </w:pPr>
      <w:r>
        <w:rPr>
          <w:rStyle w:val="150"/>
          <w:rFonts w:hint="eastAsia" w:ascii="宋体" w:hAnsi="宋体" w:eastAsia="宋体" w:cs="宋体"/>
          <w:color w:val="auto"/>
          <w:sz w:val="24"/>
          <w:szCs w:val="24"/>
        </w:rPr>
        <w:t>本人已知晓上述告知内容， 并愿意遵照执行（签名） ：</w:t>
      </w:r>
    </w:p>
    <w:p w14:paraId="3FAD3E3F">
      <w:pPr>
        <w:pStyle w:val="30"/>
        <w:spacing w:line="520" w:lineRule="exact"/>
        <w:ind w:firstLine="960" w:firstLineChars="400"/>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0E3CBBF8">
      <w:pPr>
        <w:pStyle w:val="30"/>
        <w:spacing w:line="520" w:lineRule="exact"/>
        <w:ind w:firstLine="3600" w:firstLineChars="1500"/>
        <w:jc w:val="left"/>
        <w:rPr>
          <w:rFonts w:hint="eastAsia" w:ascii="宋体" w:hAnsi="宋体" w:eastAsia="宋体" w:cs="宋体"/>
          <w:b/>
          <w:bCs/>
          <w:sz w:val="44"/>
          <w:szCs w:val="44"/>
        </w:rPr>
      </w:pPr>
      <w:r>
        <w:rPr>
          <w:rStyle w:val="150"/>
          <w:rFonts w:hint="eastAsia" w:ascii="宋体" w:hAnsi="宋体" w:cs="宋体"/>
          <w:color w:val="auto"/>
          <w:sz w:val="24"/>
          <w:szCs w:val="24"/>
        </w:rPr>
        <w:t xml:space="preserve">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 xml:space="preserve"> 年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月</w:t>
      </w:r>
      <w:r>
        <w:rPr>
          <w:rStyle w:val="150"/>
          <w:rFonts w:hint="eastAsia" w:hAnsi="宋体" w:eastAsia="宋体" w:cs="宋体"/>
          <w:color w:val="auto"/>
          <w:sz w:val="24"/>
          <w:szCs w:val="24"/>
        </w:rPr>
        <w:t xml:space="preserve"> </w:t>
      </w:r>
    </w:p>
    <w:p w14:paraId="57E52572">
      <w:pPr>
        <w:pStyle w:val="45"/>
        <w:rPr>
          <w:rFonts w:hint="eastAsia"/>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72D1">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1AEDA">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31AEDA">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DE0C">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2AC6C">
                          <w:pPr>
                            <w:pStyle w:val="36"/>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82AC6C">
                    <w:pPr>
                      <w:pStyle w:val="36"/>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6ED9BE05">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401E">
    <w:pPr>
      <w:pStyle w:val="36"/>
      <w:tabs>
        <w:tab w:val="left" w:pos="4716"/>
        <w:tab w:val="right" w:pos="8426"/>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571F8">
                          <w:pPr>
                            <w:tabs>
                              <w:tab w:val="center" w:pos="4153"/>
                              <w:tab w:val="left" w:pos="4716"/>
                              <w:tab w:val="right" w:pos="8306"/>
                              <w:tab w:val="right" w:pos="8426"/>
                            </w:tabs>
                            <w:jc w:val="right"/>
                          </w:pPr>
                        </w:p>
                        <w:p w14:paraId="7B814C8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9D571F8">
                    <w:pPr>
                      <w:tabs>
                        <w:tab w:val="center" w:pos="4153"/>
                        <w:tab w:val="left" w:pos="4716"/>
                        <w:tab w:val="right" w:pos="8306"/>
                        <w:tab w:val="right" w:pos="8426"/>
                      </w:tabs>
                      <w:jc w:val="right"/>
                    </w:pPr>
                  </w:p>
                  <w:p w14:paraId="7B814C84"/>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D2C3">
                          <w:pPr>
                            <w:tabs>
                              <w:tab w:val="center" w:pos="4153"/>
                              <w:tab w:val="left" w:pos="4716"/>
                              <w:tab w:val="right" w:pos="8306"/>
                              <w:tab w:val="right" w:pos="8426"/>
                            </w:tabs>
                            <w:jc w:val="right"/>
                          </w:pPr>
                        </w:p>
                        <w:p w14:paraId="321258B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8FAD2C3">
                    <w:pPr>
                      <w:tabs>
                        <w:tab w:val="center" w:pos="4153"/>
                        <w:tab w:val="left" w:pos="4716"/>
                        <w:tab w:val="right" w:pos="8306"/>
                        <w:tab w:val="right" w:pos="8426"/>
                      </w:tabs>
                      <w:jc w:val="right"/>
                    </w:pPr>
                  </w:p>
                  <w:p w14:paraId="321258B9"/>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A59E1">
                          <w:pPr>
                            <w:tabs>
                              <w:tab w:val="center" w:pos="4153"/>
                              <w:tab w:val="left" w:pos="4716"/>
                              <w:tab w:val="right" w:pos="8306"/>
                              <w:tab w:val="right" w:pos="8426"/>
                            </w:tabs>
                            <w:jc w:val="right"/>
                          </w:pPr>
                        </w:p>
                        <w:p w14:paraId="4AB11C3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0DA59E1">
                    <w:pPr>
                      <w:tabs>
                        <w:tab w:val="center" w:pos="4153"/>
                        <w:tab w:val="left" w:pos="4716"/>
                        <w:tab w:val="right" w:pos="8306"/>
                        <w:tab w:val="right" w:pos="8426"/>
                      </w:tabs>
                      <w:jc w:val="right"/>
                    </w:pPr>
                  </w:p>
                  <w:p w14:paraId="4AB11C35"/>
                </w:txbxContent>
              </v:textbox>
            </v:shape>
          </w:pict>
        </mc:Fallback>
      </mc:AlternateContent>
    </w:r>
  </w:p>
  <w:p w14:paraId="43D97733">
    <w:pPr>
      <w:pStyle w:val="36"/>
      <w:tabs>
        <w:tab w:val="left" w:pos="4761"/>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DBA6">
    <w:pPr>
      <w:pStyle w:val="3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0C84">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295A">
    <w:pPr>
      <w:pStyle w:val="37"/>
      <w:pBdr>
        <w:bottom w:val="none" w:color="auto" w:sz="0" w:space="1"/>
      </w:pBdr>
      <w:jc w:val="left"/>
      <w:rPr>
        <w:rFonts w:ascii="仿宋_GB2312" w:hAnsi="仿宋_GB2312" w:eastAsia="仿宋_GB231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9EE71"/>
    <w:multiLevelType w:val="singleLevel"/>
    <w:tmpl w:val="9509EE71"/>
    <w:lvl w:ilvl="0" w:tentative="0">
      <w:start w:val="4"/>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5"/>
      <w:lvlText w:val="第 %1 条"/>
      <w:lvlJc w:val="left"/>
      <w:pPr>
        <w:tabs>
          <w:tab w:val="left" w:pos="2640"/>
        </w:tabs>
        <w:ind w:left="1560" w:firstLine="0"/>
      </w:pPr>
    </w:lvl>
    <w:lvl w:ilvl="1" w:tentative="0">
      <w:start w:val="1"/>
      <w:numFmt w:val="decimalZero"/>
      <w:pStyle w:val="6"/>
      <w:isLgl/>
      <w:lvlText w:val="节 %1.%2"/>
      <w:lvlJc w:val="left"/>
      <w:pPr>
        <w:tabs>
          <w:tab w:val="left" w:pos="2280"/>
        </w:tabs>
        <w:ind w:left="1560" w:firstLine="0"/>
      </w:pPr>
    </w:lvl>
    <w:lvl w:ilvl="2" w:tentative="0">
      <w:start w:val="1"/>
      <w:numFmt w:val="lowerLetter"/>
      <w:pStyle w:val="7"/>
      <w:lvlText w:val="(%3)"/>
      <w:lvlJc w:val="left"/>
      <w:pPr>
        <w:tabs>
          <w:tab w:val="left" w:pos="2280"/>
        </w:tabs>
        <w:ind w:left="2280" w:hanging="432"/>
      </w:pPr>
    </w:lvl>
    <w:lvl w:ilvl="3" w:tentative="0">
      <w:start w:val="1"/>
      <w:numFmt w:val="lowerRoman"/>
      <w:pStyle w:val="8"/>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1"/>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51B0D601"/>
    <w:multiLevelType w:val="singleLevel"/>
    <w:tmpl w:val="51B0D601"/>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B2145B"/>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644053"/>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03154"/>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86900"/>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AE2977"/>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C43568"/>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437C0C"/>
    <w:rsid w:val="6B5415A7"/>
    <w:rsid w:val="6B9952A7"/>
    <w:rsid w:val="6C0C66AB"/>
    <w:rsid w:val="6C1D5A8D"/>
    <w:rsid w:val="6C506D05"/>
    <w:rsid w:val="6C710D22"/>
    <w:rsid w:val="6CAB3449"/>
    <w:rsid w:val="6CB5299E"/>
    <w:rsid w:val="6CC91D04"/>
    <w:rsid w:val="6CD754CF"/>
    <w:rsid w:val="6CD9476D"/>
    <w:rsid w:val="6D1301ED"/>
    <w:rsid w:val="6D2152F9"/>
    <w:rsid w:val="6D3F6E6A"/>
    <w:rsid w:val="6D8B5AE0"/>
    <w:rsid w:val="6D92054D"/>
    <w:rsid w:val="6D953B09"/>
    <w:rsid w:val="6E5626ED"/>
    <w:rsid w:val="6E942999"/>
    <w:rsid w:val="6EB966E9"/>
    <w:rsid w:val="6F241291"/>
    <w:rsid w:val="6F912DCA"/>
    <w:rsid w:val="6FCC795E"/>
    <w:rsid w:val="700A4990"/>
    <w:rsid w:val="702548F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6">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7">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8">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9">
    <w:name w:val="heading 5"/>
    <w:basedOn w:val="1"/>
    <w:next w:val="1"/>
    <w:link w:val="77"/>
    <w:qFormat/>
    <w:uiPriority w:val="0"/>
    <w:pPr>
      <w:ind w:left="1008" w:hanging="432"/>
      <w:outlineLvl w:val="4"/>
    </w:pPr>
    <w:rPr>
      <w:rFonts w:ascii="Times New Roman" w:hAnsi="Times New Roman"/>
      <w:kern w:val="0"/>
      <w:sz w:val="20"/>
      <w:szCs w:val="20"/>
    </w:rPr>
  </w:style>
  <w:style w:type="paragraph" w:styleId="10">
    <w:name w:val="heading 6"/>
    <w:basedOn w:val="1"/>
    <w:next w:val="1"/>
    <w:link w:val="78"/>
    <w:qFormat/>
    <w:uiPriority w:val="0"/>
    <w:pPr>
      <w:ind w:left="1152" w:hanging="432"/>
      <w:outlineLvl w:val="5"/>
    </w:pPr>
    <w:rPr>
      <w:rFonts w:ascii="Times New Roman" w:hAnsi="Times New Roman"/>
      <w:kern w:val="0"/>
      <w:sz w:val="20"/>
      <w:szCs w:val="20"/>
    </w:rPr>
  </w:style>
  <w:style w:type="paragraph" w:styleId="11">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2">
    <w:name w:val="heading 8"/>
    <w:basedOn w:val="1"/>
    <w:next w:val="1"/>
    <w:link w:val="80"/>
    <w:qFormat/>
    <w:uiPriority w:val="0"/>
    <w:pPr>
      <w:ind w:left="1440" w:hanging="432"/>
      <w:outlineLvl w:val="7"/>
    </w:pPr>
    <w:rPr>
      <w:rFonts w:ascii="Times New Roman" w:hAnsi="Times New Roman"/>
      <w:kern w:val="0"/>
      <w:sz w:val="20"/>
      <w:szCs w:val="20"/>
    </w:rPr>
  </w:style>
  <w:style w:type="paragraph" w:styleId="13">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4"/>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4"/>
    <w:link w:val="88"/>
    <w:qFormat/>
    <w:uiPriority w:val="99"/>
    <w:pPr>
      <w:spacing w:line="360" w:lineRule="auto"/>
    </w:pPr>
    <w:rPr>
      <w:rFonts w:ascii="宋体" w:hAnsi="宋体"/>
      <w:kern w:val="0"/>
      <w:sz w:val="24"/>
      <w:szCs w:val="24"/>
    </w:rPr>
  </w:style>
  <w:style w:type="paragraph" w:styleId="4">
    <w:name w:val="Title"/>
    <w:basedOn w:val="1"/>
    <w:next w:val="1"/>
    <w:link w:val="158"/>
    <w:qFormat/>
    <w:uiPriority w:val="0"/>
    <w:pPr>
      <w:spacing w:before="240" w:after="60"/>
      <w:jc w:val="center"/>
      <w:outlineLvl w:val="0"/>
    </w:pPr>
    <w:rPr>
      <w:rFonts w:ascii="Cambria" w:hAnsi="Cambria"/>
      <w:b/>
      <w:bCs/>
      <w:sz w:val="32"/>
      <w:szCs w:val="32"/>
    </w:rPr>
  </w:style>
  <w:style w:type="paragraph" w:styleId="14">
    <w:name w:val="toc 7"/>
    <w:basedOn w:val="1"/>
    <w:next w:val="1"/>
    <w:unhideWhenUsed/>
    <w:qFormat/>
    <w:uiPriority w:val="0"/>
    <w:pPr>
      <w:ind w:left="2520" w:leftChars="1200"/>
    </w:pPr>
  </w:style>
  <w:style w:type="paragraph" w:styleId="15">
    <w:name w:val="Note Heading"/>
    <w:basedOn w:val="1"/>
    <w:next w:val="1"/>
    <w:link w:val="117"/>
    <w:semiHidden/>
    <w:qFormat/>
    <w:uiPriority w:val="0"/>
    <w:pPr>
      <w:jc w:val="center"/>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E-mail Signature"/>
    <w:basedOn w:val="1"/>
    <w:link w:val="118"/>
    <w:semiHidden/>
    <w:qFormat/>
    <w:uiPriority w:val="0"/>
    <w:rPr>
      <w:rFonts w:ascii="Times New Roman" w:hAnsi="Times New Roman"/>
      <w:szCs w:val="24"/>
    </w:rPr>
  </w:style>
  <w:style w:type="paragraph" w:styleId="18">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9">
    <w:name w:val="List Bullet"/>
    <w:basedOn w:val="1"/>
    <w:semiHidden/>
    <w:qFormat/>
    <w:uiPriority w:val="0"/>
    <w:pPr>
      <w:tabs>
        <w:tab w:val="left" w:pos="360"/>
      </w:tabs>
      <w:ind w:left="360" w:hanging="360"/>
    </w:pPr>
    <w:rPr>
      <w:rFonts w:ascii="Times New Roman" w:hAnsi="Times New Roman"/>
      <w:szCs w:val="24"/>
    </w:rPr>
  </w:style>
  <w:style w:type="paragraph" w:styleId="2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1">
    <w:name w:val="Document Map"/>
    <w:basedOn w:val="1"/>
    <w:link w:val="95"/>
    <w:unhideWhenUsed/>
    <w:qFormat/>
    <w:uiPriority w:val="0"/>
    <w:rPr>
      <w:rFonts w:ascii="宋体"/>
      <w:sz w:val="18"/>
      <w:szCs w:val="18"/>
    </w:rPr>
  </w:style>
  <w:style w:type="paragraph" w:styleId="22">
    <w:name w:val="annotation text"/>
    <w:basedOn w:val="1"/>
    <w:link w:val="87"/>
    <w:unhideWhenUsed/>
    <w:qFormat/>
    <w:uiPriority w:val="0"/>
    <w:pPr>
      <w:jc w:val="left"/>
    </w:pPr>
  </w:style>
  <w:style w:type="paragraph" w:styleId="23">
    <w:name w:val="Salutation"/>
    <w:basedOn w:val="1"/>
    <w:next w:val="1"/>
    <w:link w:val="119"/>
    <w:semiHidden/>
    <w:qFormat/>
    <w:uiPriority w:val="0"/>
    <w:rPr>
      <w:rFonts w:ascii="Times New Roman" w:hAnsi="Times New Roman"/>
      <w:szCs w:val="24"/>
    </w:rPr>
  </w:style>
  <w:style w:type="paragraph" w:styleId="24">
    <w:name w:val="Body Text 3"/>
    <w:basedOn w:val="1"/>
    <w:link w:val="120"/>
    <w:semiHidden/>
    <w:qFormat/>
    <w:uiPriority w:val="0"/>
    <w:pPr>
      <w:spacing w:after="120"/>
    </w:pPr>
    <w:rPr>
      <w:rFonts w:ascii="Times New Roman" w:hAnsi="Times New Roman"/>
      <w:sz w:val="16"/>
      <w:szCs w:val="16"/>
    </w:rPr>
  </w:style>
  <w:style w:type="paragraph" w:styleId="25">
    <w:name w:val="Closing"/>
    <w:basedOn w:val="1"/>
    <w:link w:val="121"/>
    <w:semiHidden/>
    <w:qFormat/>
    <w:uiPriority w:val="0"/>
    <w:pPr>
      <w:ind w:left="100" w:leftChars="2100"/>
    </w:pPr>
    <w:rPr>
      <w:rFonts w:ascii="Times New Roman" w:hAnsi="Times New Roman"/>
      <w:szCs w:val="24"/>
    </w:rPr>
  </w:style>
  <w:style w:type="paragraph" w:styleId="26">
    <w:name w:val="Body Text Indent"/>
    <w:basedOn w:val="1"/>
    <w:link w:val="86"/>
    <w:unhideWhenUsed/>
    <w:qFormat/>
    <w:uiPriority w:val="99"/>
    <w:pPr>
      <w:spacing w:after="120"/>
      <w:ind w:left="420" w:leftChars="200"/>
    </w:pPr>
  </w:style>
  <w:style w:type="paragraph" w:styleId="27">
    <w:name w:val="HTML Address"/>
    <w:basedOn w:val="1"/>
    <w:link w:val="122"/>
    <w:semiHidden/>
    <w:qFormat/>
    <w:uiPriority w:val="0"/>
    <w:rPr>
      <w:rFonts w:ascii="Times New Roman" w:hAnsi="Times New Roman"/>
      <w:i/>
      <w:iCs/>
      <w:szCs w:val="24"/>
    </w:rPr>
  </w:style>
  <w:style w:type="paragraph" w:styleId="28">
    <w:name w:val="toc 5"/>
    <w:basedOn w:val="1"/>
    <w:next w:val="1"/>
    <w:unhideWhenUsed/>
    <w:qFormat/>
    <w:uiPriority w:val="0"/>
    <w:pPr>
      <w:ind w:left="1680" w:leftChars="800"/>
    </w:pPr>
  </w:style>
  <w:style w:type="paragraph" w:styleId="29">
    <w:name w:val="toc 3"/>
    <w:basedOn w:val="1"/>
    <w:next w:val="1"/>
    <w:unhideWhenUsed/>
    <w:qFormat/>
    <w:uiPriority w:val="0"/>
    <w:pPr>
      <w:ind w:left="840" w:leftChars="400"/>
    </w:pPr>
  </w:style>
  <w:style w:type="paragraph" w:styleId="30">
    <w:name w:val="Plain Text"/>
    <w:basedOn w:val="1"/>
    <w:next w:val="16"/>
    <w:link w:val="91"/>
    <w:qFormat/>
    <w:uiPriority w:val="0"/>
    <w:rPr>
      <w:rFonts w:ascii="宋体" w:hAnsi="Courier New"/>
      <w:szCs w:val="21"/>
    </w:rPr>
  </w:style>
  <w:style w:type="paragraph" w:styleId="31">
    <w:name w:val="toc 8"/>
    <w:basedOn w:val="1"/>
    <w:next w:val="1"/>
    <w:semiHidden/>
    <w:qFormat/>
    <w:uiPriority w:val="0"/>
    <w:pPr>
      <w:ind w:left="2940" w:leftChars="1400"/>
    </w:pPr>
  </w:style>
  <w:style w:type="paragraph" w:styleId="32">
    <w:name w:val="Date"/>
    <w:basedOn w:val="1"/>
    <w:next w:val="1"/>
    <w:link w:val="123"/>
    <w:unhideWhenUsed/>
    <w:qFormat/>
    <w:uiPriority w:val="0"/>
    <w:pPr>
      <w:ind w:left="100" w:leftChars="2500"/>
    </w:pPr>
    <w:rPr>
      <w:rFonts w:ascii="Times New Roman" w:hAnsi="Times New Roman"/>
      <w:szCs w:val="20"/>
    </w:rPr>
  </w:style>
  <w:style w:type="paragraph" w:styleId="33">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4">
    <w:name w:val="endnote text"/>
    <w:basedOn w:val="1"/>
    <w:link w:val="125"/>
    <w:semiHidden/>
    <w:qFormat/>
    <w:uiPriority w:val="0"/>
    <w:pPr>
      <w:snapToGrid w:val="0"/>
      <w:jc w:val="left"/>
    </w:pPr>
    <w:rPr>
      <w:rFonts w:ascii="Times New Roman" w:hAnsi="Times New Roman"/>
      <w:szCs w:val="24"/>
    </w:rPr>
  </w:style>
  <w:style w:type="paragraph" w:styleId="35">
    <w:name w:val="Balloon Text"/>
    <w:basedOn w:val="1"/>
    <w:link w:val="90"/>
    <w:unhideWhenUsed/>
    <w:qFormat/>
    <w:uiPriority w:val="0"/>
    <w:rPr>
      <w:kern w:val="0"/>
      <w:sz w:val="18"/>
      <w:szCs w:val="18"/>
    </w:rPr>
  </w:style>
  <w:style w:type="paragraph" w:styleId="36">
    <w:name w:val="footer"/>
    <w:basedOn w:val="1"/>
    <w:link w:val="89"/>
    <w:unhideWhenUsed/>
    <w:qFormat/>
    <w:uiPriority w:val="0"/>
    <w:pPr>
      <w:tabs>
        <w:tab w:val="center" w:pos="4153"/>
        <w:tab w:val="right" w:pos="8306"/>
      </w:tabs>
      <w:snapToGrid w:val="0"/>
      <w:jc w:val="left"/>
    </w:pPr>
    <w:rPr>
      <w:kern w:val="0"/>
      <w:sz w:val="18"/>
      <w:szCs w:val="18"/>
    </w:rPr>
  </w:style>
  <w:style w:type="paragraph" w:styleId="37">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8">
    <w:name w:val="Signature"/>
    <w:basedOn w:val="1"/>
    <w:link w:val="126"/>
    <w:semiHidden/>
    <w:qFormat/>
    <w:uiPriority w:val="0"/>
    <w:pPr>
      <w:ind w:left="100" w:leftChars="2100"/>
    </w:pPr>
    <w:rPr>
      <w:rFonts w:ascii="Times New Roman" w:hAnsi="Times New Roman"/>
      <w:szCs w:val="24"/>
    </w:rPr>
  </w:style>
  <w:style w:type="paragraph" w:styleId="39">
    <w:name w:val="toc 1"/>
    <w:basedOn w:val="1"/>
    <w:next w:val="1"/>
    <w:unhideWhenUsed/>
    <w:qFormat/>
    <w:uiPriority w:val="0"/>
  </w:style>
  <w:style w:type="paragraph" w:styleId="40">
    <w:name w:val="toc 4"/>
    <w:basedOn w:val="1"/>
    <w:next w:val="1"/>
    <w:unhideWhenUsed/>
    <w:qFormat/>
    <w:uiPriority w:val="0"/>
    <w:pPr>
      <w:ind w:left="1260" w:leftChars="600"/>
    </w:pPr>
  </w:style>
  <w:style w:type="paragraph" w:styleId="41">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semiHidden/>
    <w:qFormat/>
    <w:uiPriority w:val="0"/>
    <w:pPr>
      <w:ind w:left="200" w:hanging="200" w:hangingChars="200"/>
    </w:pPr>
    <w:rPr>
      <w:rFonts w:ascii="Times New Roman" w:hAnsi="Times New Roman"/>
      <w:szCs w:val="24"/>
    </w:rPr>
  </w:style>
  <w:style w:type="paragraph" w:styleId="43">
    <w:name w:val="footnote text"/>
    <w:basedOn w:val="1"/>
    <w:link w:val="127"/>
    <w:semiHidden/>
    <w:qFormat/>
    <w:uiPriority w:val="0"/>
    <w:pPr>
      <w:snapToGrid w:val="0"/>
      <w:jc w:val="left"/>
    </w:pPr>
    <w:rPr>
      <w:rFonts w:ascii="Times New Roman" w:hAnsi="Times New Roman"/>
      <w:sz w:val="18"/>
      <w:szCs w:val="20"/>
    </w:rPr>
  </w:style>
  <w:style w:type="paragraph" w:styleId="44">
    <w:name w:val="toc 6"/>
    <w:basedOn w:val="1"/>
    <w:next w:val="1"/>
    <w:unhideWhenUsed/>
    <w:qFormat/>
    <w:uiPriority w:val="0"/>
    <w:pPr>
      <w:ind w:left="2100" w:leftChars="1000"/>
    </w:pPr>
  </w:style>
  <w:style w:type="paragraph" w:styleId="45">
    <w:name w:val="toc 2"/>
    <w:basedOn w:val="1"/>
    <w:next w:val="1"/>
    <w:unhideWhenUsed/>
    <w:qFormat/>
    <w:uiPriority w:val="0"/>
    <w:pPr>
      <w:ind w:left="420" w:leftChars="200"/>
    </w:pPr>
  </w:style>
  <w:style w:type="paragraph" w:styleId="46">
    <w:name w:val="toc 9"/>
    <w:basedOn w:val="1"/>
    <w:next w:val="1"/>
    <w:unhideWhenUsed/>
    <w:qFormat/>
    <w:uiPriority w:val="0"/>
    <w:pPr>
      <w:ind w:left="3360" w:leftChars="1600"/>
    </w:pPr>
  </w:style>
  <w:style w:type="paragraph" w:styleId="47">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8">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unhideWhenUsed/>
    <w:qFormat/>
    <w:uiPriority w:val="0"/>
  </w:style>
  <w:style w:type="paragraph" w:styleId="51">
    <w:name w:val="annotation subject"/>
    <w:basedOn w:val="22"/>
    <w:next w:val="22"/>
    <w:link w:val="96"/>
    <w:unhideWhenUsed/>
    <w:qFormat/>
    <w:uiPriority w:val="0"/>
    <w:rPr>
      <w:b/>
      <w:bCs/>
    </w:rPr>
  </w:style>
  <w:style w:type="paragraph" w:styleId="52">
    <w:name w:val="Body Text First Indent 2"/>
    <w:basedOn w:val="26"/>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5"/>
    <w:qFormat/>
    <w:uiPriority w:val="0"/>
    <w:rPr>
      <w:b/>
      <w:bCs/>
      <w:kern w:val="44"/>
      <w:sz w:val="44"/>
      <w:szCs w:val="44"/>
    </w:rPr>
  </w:style>
  <w:style w:type="character" w:customStyle="1" w:styleId="74">
    <w:name w:val="标题 2 Char"/>
    <w:link w:val="6"/>
    <w:qFormat/>
    <w:uiPriority w:val="0"/>
    <w:rPr>
      <w:rFonts w:ascii="Cambria" w:hAnsi="Cambria" w:eastAsia="宋体"/>
      <w:b/>
      <w:bCs/>
      <w:kern w:val="2"/>
      <w:sz w:val="32"/>
      <w:szCs w:val="32"/>
      <w:lang w:val="en-US" w:eastAsia="zh-CN" w:bidi="ar-SA"/>
    </w:rPr>
  </w:style>
  <w:style w:type="character" w:customStyle="1" w:styleId="75">
    <w:name w:val="标题 3 Char"/>
    <w:link w:val="7"/>
    <w:qFormat/>
    <w:uiPriority w:val="0"/>
    <w:rPr>
      <w:rFonts w:ascii="Calibri" w:hAnsi="Calibri" w:eastAsia="宋体"/>
      <w:b/>
      <w:bCs/>
      <w:kern w:val="2"/>
      <w:sz w:val="32"/>
      <w:szCs w:val="32"/>
      <w:lang w:val="en-US" w:eastAsia="zh-CN" w:bidi="ar-SA"/>
    </w:rPr>
  </w:style>
  <w:style w:type="character" w:customStyle="1" w:styleId="76">
    <w:name w:val="标题 4 Char"/>
    <w:link w:val="8"/>
    <w:qFormat/>
    <w:uiPriority w:val="0"/>
    <w:rPr>
      <w:rFonts w:ascii="宋体" w:hAnsi="宋体" w:eastAsia="宋体" w:cs="宋体"/>
      <w:b/>
      <w:bCs/>
      <w:sz w:val="24"/>
      <w:szCs w:val="24"/>
      <w:lang w:val="en-US" w:eastAsia="zh-CN" w:bidi="ar-SA"/>
    </w:rPr>
  </w:style>
  <w:style w:type="character" w:customStyle="1" w:styleId="77">
    <w:name w:val="标题 5 Char"/>
    <w:basedOn w:val="57"/>
    <w:link w:val="9"/>
    <w:qFormat/>
    <w:uiPriority w:val="0"/>
    <w:rPr>
      <w:rFonts w:ascii="Times New Roman" w:hAnsi="Times New Roman"/>
    </w:rPr>
  </w:style>
  <w:style w:type="character" w:customStyle="1" w:styleId="78">
    <w:name w:val="标题 6 Char"/>
    <w:basedOn w:val="57"/>
    <w:link w:val="10"/>
    <w:qFormat/>
    <w:uiPriority w:val="0"/>
    <w:rPr>
      <w:rFonts w:ascii="Times New Roman" w:hAnsi="Times New Roman"/>
    </w:rPr>
  </w:style>
  <w:style w:type="character" w:customStyle="1" w:styleId="79">
    <w:name w:val="标题 7 Char"/>
    <w:link w:val="11"/>
    <w:qFormat/>
    <w:uiPriority w:val="0"/>
    <w:rPr>
      <w:rFonts w:ascii="Calibri" w:hAnsi="Calibri" w:eastAsia="宋体"/>
      <w:b/>
      <w:bCs/>
      <w:kern w:val="2"/>
      <w:sz w:val="24"/>
      <w:szCs w:val="24"/>
      <w:lang w:val="en-US" w:eastAsia="zh-CN" w:bidi="ar-SA"/>
    </w:rPr>
  </w:style>
  <w:style w:type="character" w:customStyle="1" w:styleId="80">
    <w:name w:val="标题 8 Char"/>
    <w:basedOn w:val="57"/>
    <w:link w:val="12"/>
    <w:qFormat/>
    <w:uiPriority w:val="0"/>
    <w:rPr>
      <w:rFonts w:ascii="Times New Roman" w:hAnsi="Times New Roman"/>
    </w:rPr>
  </w:style>
  <w:style w:type="character" w:customStyle="1" w:styleId="81">
    <w:name w:val="标题 9 Char"/>
    <w:basedOn w:val="57"/>
    <w:link w:val="13"/>
    <w:qFormat/>
    <w:uiPriority w:val="0"/>
    <w:rPr>
      <w:rFonts w:ascii="Times New Roman" w:hAnsi="Times New Roman"/>
    </w:rPr>
  </w:style>
  <w:style w:type="character" w:customStyle="1" w:styleId="82">
    <w:name w:val="页眉 Char"/>
    <w:link w:val="37"/>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6"/>
    <w:semiHidden/>
    <w:qFormat/>
    <w:uiPriority w:val="99"/>
  </w:style>
  <w:style w:type="character" w:customStyle="1" w:styleId="87">
    <w:name w:val="批注文字 Char"/>
    <w:link w:val="22"/>
    <w:semiHidden/>
    <w:qFormat/>
    <w:uiPriority w:val="0"/>
    <w:rPr>
      <w:kern w:val="2"/>
      <w:sz w:val="21"/>
      <w:szCs w:val="22"/>
    </w:rPr>
  </w:style>
  <w:style w:type="character" w:customStyle="1" w:styleId="88">
    <w:name w:val="正文文本 Char"/>
    <w:link w:val="3"/>
    <w:qFormat/>
    <w:uiPriority w:val="99"/>
    <w:rPr>
      <w:rFonts w:ascii="宋体" w:hAnsi="宋体" w:eastAsia="宋体" w:cs="Times New Roman"/>
      <w:sz w:val="24"/>
      <w:szCs w:val="24"/>
    </w:rPr>
  </w:style>
  <w:style w:type="character" w:customStyle="1" w:styleId="89">
    <w:name w:val="页脚 Char"/>
    <w:link w:val="36"/>
    <w:qFormat/>
    <w:uiPriority w:val="0"/>
    <w:rPr>
      <w:sz w:val="18"/>
      <w:szCs w:val="18"/>
    </w:rPr>
  </w:style>
  <w:style w:type="character" w:customStyle="1" w:styleId="90">
    <w:name w:val="批注框文本 Char"/>
    <w:link w:val="35"/>
    <w:semiHidden/>
    <w:qFormat/>
    <w:uiPriority w:val="0"/>
    <w:rPr>
      <w:sz w:val="18"/>
      <w:szCs w:val="18"/>
    </w:rPr>
  </w:style>
  <w:style w:type="character" w:customStyle="1" w:styleId="91">
    <w:name w:val="纯文本 Char"/>
    <w:link w:val="30"/>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7"/>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21"/>
    <w:qFormat/>
    <w:uiPriority w:val="0"/>
    <w:rPr>
      <w:rFonts w:ascii="宋体"/>
      <w:kern w:val="2"/>
      <w:sz w:val="18"/>
      <w:szCs w:val="18"/>
    </w:rPr>
  </w:style>
  <w:style w:type="character" w:customStyle="1" w:styleId="96">
    <w:name w:val="批注主题 Char"/>
    <w:link w:val="51"/>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7"/>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3"/>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3"/>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2"/>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5"/>
    <w:semiHidden/>
    <w:qFormat/>
    <w:uiPriority w:val="0"/>
    <w:rPr>
      <w:rFonts w:ascii="Times New Roman" w:hAnsi="Times New Roman"/>
      <w:kern w:val="2"/>
      <w:sz w:val="21"/>
      <w:szCs w:val="24"/>
    </w:rPr>
  </w:style>
  <w:style w:type="character" w:customStyle="1" w:styleId="118">
    <w:name w:val="电子邮件签名 Char"/>
    <w:basedOn w:val="57"/>
    <w:link w:val="17"/>
    <w:semiHidden/>
    <w:qFormat/>
    <w:uiPriority w:val="0"/>
    <w:rPr>
      <w:rFonts w:ascii="Times New Roman" w:hAnsi="Times New Roman"/>
      <w:kern w:val="2"/>
      <w:sz w:val="21"/>
      <w:szCs w:val="24"/>
    </w:rPr>
  </w:style>
  <w:style w:type="character" w:customStyle="1" w:styleId="119">
    <w:name w:val="称呼 Char"/>
    <w:basedOn w:val="57"/>
    <w:link w:val="23"/>
    <w:semiHidden/>
    <w:qFormat/>
    <w:uiPriority w:val="0"/>
    <w:rPr>
      <w:rFonts w:ascii="Times New Roman" w:hAnsi="Times New Roman"/>
      <w:kern w:val="2"/>
      <w:sz w:val="21"/>
      <w:szCs w:val="24"/>
    </w:rPr>
  </w:style>
  <w:style w:type="character" w:customStyle="1" w:styleId="120">
    <w:name w:val="正文文本 3 Char"/>
    <w:basedOn w:val="57"/>
    <w:link w:val="24"/>
    <w:semiHidden/>
    <w:qFormat/>
    <w:uiPriority w:val="0"/>
    <w:rPr>
      <w:rFonts w:ascii="Times New Roman" w:hAnsi="Times New Roman"/>
      <w:kern w:val="2"/>
      <w:sz w:val="16"/>
      <w:szCs w:val="16"/>
    </w:rPr>
  </w:style>
  <w:style w:type="character" w:customStyle="1" w:styleId="121">
    <w:name w:val="结束语 Char"/>
    <w:basedOn w:val="57"/>
    <w:link w:val="25"/>
    <w:semiHidden/>
    <w:qFormat/>
    <w:uiPriority w:val="0"/>
    <w:rPr>
      <w:rFonts w:ascii="Times New Roman" w:hAnsi="Times New Roman"/>
      <w:kern w:val="2"/>
      <w:sz w:val="21"/>
      <w:szCs w:val="24"/>
    </w:rPr>
  </w:style>
  <w:style w:type="character" w:customStyle="1" w:styleId="122">
    <w:name w:val="HTML 地址 Char"/>
    <w:basedOn w:val="57"/>
    <w:link w:val="27"/>
    <w:semiHidden/>
    <w:qFormat/>
    <w:uiPriority w:val="0"/>
    <w:rPr>
      <w:rFonts w:ascii="Times New Roman" w:hAnsi="Times New Roman"/>
      <w:i/>
      <w:iCs/>
      <w:kern w:val="2"/>
      <w:sz w:val="21"/>
      <w:szCs w:val="24"/>
    </w:rPr>
  </w:style>
  <w:style w:type="character" w:customStyle="1" w:styleId="123">
    <w:name w:val="日期 Char"/>
    <w:basedOn w:val="57"/>
    <w:link w:val="32"/>
    <w:qFormat/>
    <w:uiPriority w:val="0"/>
    <w:rPr>
      <w:rFonts w:ascii="Times New Roman" w:hAnsi="Times New Roman"/>
      <w:kern w:val="2"/>
      <w:sz w:val="21"/>
    </w:rPr>
  </w:style>
  <w:style w:type="character" w:customStyle="1" w:styleId="124">
    <w:name w:val="正文文本缩进 2 Char"/>
    <w:basedOn w:val="57"/>
    <w:link w:val="33"/>
    <w:semiHidden/>
    <w:qFormat/>
    <w:uiPriority w:val="0"/>
    <w:rPr>
      <w:rFonts w:ascii="Times New Roman" w:hAnsi="Times New Roman"/>
      <w:kern w:val="2"/>
      <w:sz w:val="21"/>
      <w:szCs w:val="24"/>
    </w:rPr>
  </w:style>
  <w:style w:type="character" w:customStyle="1" w:styleId="125">
    <w:name w:val="尾注文本 Char"/>
    <w:basedOn w:val="57"/>
    <w:link w:val="34"/>
    <w:semiHidden/>
    <w:qFormat/>
    <w:uiPriority w:val="0"/>
    <w:rPr>
      <w:rFonts w:ascii="Times New Roman" w:hAnsi="Times New Roman"/>
      <w:kern w:val="2"/>
      <w:sz w:val="21"/>
      <w:szCs w:val="24"/>
    </w:rPr>
  </w:style>
  <w:style w:type="character" w:customStyle="1" w:styleId="126">
    <w:name w:val="签名 Char"/>
    <w:basedOn w:val="57"/>
    <w:link w:val="38"/>
    <w:semiHidden/>
    <w:qFormat/>
    <w:uiPriority w:val="0"/>
    <w:rPr>
      <w:rFonts w:ascii="Times New Roman" w:hAnsi="Times New Roman"/>
      <w:kern w:val="2"/>
      <w:sz w:val="21"/>
      <w:szCs w:val="24"/>
    </w:rPr>
  </w:style>
  <w:style w:type="character" w:customStyle="1" w:styleId="127">
    <w:name w:val="脚注文本 Char"/>
    <w:basedOn w:val="57"/>
    <w:link w:val="43"/>
    <w:semiHidden/>
    <w:qFormat/>
    <w:uiPriority w:val="0"/>
    <w:rPr>
      <w:rFonts w:ascii="Times New Roman" w:hAnsi="Times New Roman"/>
      <w:kern w:val="2"/>
      <w:sz w:val="18"/>
    </w:rPr>
  </w:style>
  <w:style w:type="character" w:customStyle="1" w:styleId="128">
    <w:name w:val="信息标题 Char"/>
    <w:basedOn w:val="57"/>
    <w:link w:val="47"/>
    <w:semiHidden/>
    <w:qFormat/>
    <w:uiPriority w:val="0"/>
    <w:rPr>
      <w:rFonts w:ascii="Arial" w:hAnsi="Arial" w:cs="Arial"/>
      <w:kern w:val="2"/>
      <w:sz w:val="24"/>
      <w:szCs w:val="24"/>
      <w:shd w:val="pct20" w:color="auto" w:fill="auto"/>
    </w:rPr>
  </w:style>
  <w:style w:type="character" w:customStyle="1" w:styleId="129">
    <w:name w:val="HTML 预设格式 Char"/>
    <w:basedOn w:val="57"/>
    <w:link w:val="48"/>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1"/>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
    <w:qFormat/>
    <w:uiPriority w:val="0"/>
    <w:rPr>
      <w:rFonts w:ascii="Cambria" w:hAnsi="Cambria"/>
      <w:b/>
      <w:bCs/>
      <w:kern w:val="2"/>
      <w:sz w:val="32"/>
      <w:szCs w:val="32"/>
    </w:rPr>
  </w:style>
  <w:style w:type="character" w:customStyle="1" w:styleId="158">
    <w:name w:val="标题 Char2"/>
    <w:basedOn w:val="57"/>
    <w:link w:val="4"/>
    <w:qFormat/>
    <w:uiPriority w:val="10"/>
    <w:rPr>
      <w:rFonts w:asciiTheme="majorHAnsi" w:hAnsiTheme="majorHAnsi" w:cstheme="majorBidi"/>
      <w:b/>
      <w:bCs/>
      <w:kern w:val="2"/>
      <w:sz w:val="32"/>
      <w:szCs w:val="32"/>
    </w:rPr>
  </w:style>
  <w:style w:type="character" w:customStyle="1" w:styleId="159">
    <w:name w:val="副标题 Char1"/>
    <w:basedOn w:val="57"/>
    <w:link w:val="41"/>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6"/>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8"/>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8131</Words>
  <Characters>8396</Characters>
  <Lines>137</Lines>
  <Paragraphs>38</Paragraphs>
  <TotalTime>8</TotalTime>
  <ScaleCrop>false</ScaleCrop>
  <LinksUpToDate>false</LinksUpToDate>
  <CharactersWithSpaces>8736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實誠</cp:lastModifiedBy>
  <cp:lastPrinted>2019-11-20T08:55:00Z</cp:lastPrinted>
  <dcterms:modified xsi:type="dcterms:W3CDTF">2025-05-26T06:16:02Z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