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Times New Roman" w:hAnsi="Times New Roman" w:eastAsia="仿宋_GB2312"/>
          <w:sz w:val="32"/>
          <w:szCs w:val="32"/>
          <w:highlight w:val="none"/>
          <w:u w:val="none"/>
          <w:lang w:val="en-US" w:eastAsia="zh-CN"/>
        </w:rPr>
      </w:pPr>
    </w:p>
    <w:tbl>
      <w:tblPr>
        <w:tblStyle w:val="9"/>
        <w:tblW w:w="10283" w:type="dxa"/>
        <w:jc w:val="center"/>
        <w:tblInd w:w="0" w:type="dxa"/>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3053"/>
        <w:gridCol w:w="1830"/>
        <w:gridCol w:w="482"/>
        <w:gridCol w:w="3080"/>
      </w:tblGrid>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3" w:type="dxa"/>
            <w:gridSpan w:val="5"/>
          </w:tcPr>
          <w:p>
            <w:pPr>
              <w:jc w:val="center"/>
              <w:rPr>
                <w:rFonts w:hint="default"/>
                <w:vertAlign w:val="baseline"/>
                <w:lang w:val="en-US" w:eastAsia="zh-CN"/>
              </w:rPr>
            </w:pPr>
            <w:r>
              <w:rPr>
                <w:rFonts w:hint="eastAsia" w:ascii="方正小标宋简体" w:hAnsi="方正小标宋简体" w:eastAsia="方正小标宋简体" w:cs="方正小标宋简体"/>
                <w:bCs/>
                <w:sz w:val="30"/>
                <w:szCs w:val="30"/>
                <w:lang w:val="en-US" w:eastAsia="zh-CN"/>
              </w:rPr>
              <w:t xml:space="preserve">                   承包商报名公告      </w:t>
            </w:r>
            <w:r>
              <w:rPr>
                <w:rFonts w:hint="eastAsia" w:ascii="仿宋_GB2312" w:hAnsi="宋体" w:eastAsia="仿宋_GB2312" w:cs="宋体"/>
                <w:bCs/>
                <w:kern w:val="0"/>
                <w:sz w:val="24"/>
                <w:lang w:val="en-US" w:eastAsia="zh-CN"/>
              </w:rPr>
              <w:t>项目编码：NWGC20250113001-5</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项目名称：</w:t>
            </w:r>
          </w:p>
        </w:tc>
        <w:tc>
          <w:tcPr>
            <w:tcW w:w="8445" w:type="dxa"/>
            <w:gridSpan w:val="4"/>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南湾街道丹平社区丹平路440号西侧挡墙等5处地质灾害和危险边坡治理工程</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工程类型：</w:t>
            </w:r>
          </w:p>
        </w:tc>
        <w:tc>
          <w:tcPr>
            <w:tcW w:w="3053"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变形监测</w:t>
            </w:r>
          </w:p>
        </w:tc>
        <w:tc>
          <w:tcPr>
            <w:tcW w:w="2312"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确定承包商的方式：</w:t>
            </w:r>
          </w:p>
        </w:tc>
        <w:tc>
          <w:tcPr>
            <w:tcW w:w="3080"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集体议事</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资格审查方式：</w:t>
            </w:r>
          </w:p>
        </w:tc>
        <w:tc>
          <w:tcPr>
            <w:tcW w:w="3053"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资格后审</w:t>
            </w:r>
          </w:p>
        </w:tc>
        <w:tc>
          <w:tcPr>
            <w:tcW w:w="1830"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公告性质：</w:t>
            </w:r>
          </w:p>
        </w:tc>
        <w:tc>
          <w:tcPr>
            <w:tcW w:w="3562"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正常公告</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1838" w:type="dxa"/>
            <w:vAlign w:val="center"/>
          </w:tcPr>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公告发布开始</w:t>
            </w:r>
          </w:p>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时间：</w:t>
            </w:r>
          </w:p>
        </w:tc>
        <w:tc>
          <w:tcPr>
            <w:tcW w:w="3053" w:type="dxa"/>
            <w:vAlign w:val="center"/>
          </w:tcPr>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2025年5月27日14：00</w:t>
            </w:r>
          </w:p>
        </w:tc>
        <w:tc>
          <w:tcPr>
            <w:tcW w:w="1830" w:type="dxa"/>
            <w:vAlign w:val="center"/>
          </w:tcPr>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公告发布截止</w:t>
            </w:r>
          </w:p>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时间：</w:t>
            </w:r>
          </w:p>
        </w:tc>
        <w:tc>
          <w:tcPr>
            <w:tcW w:w="3562"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rPr>
            </w:pPr>
            <w:bookmarkStart w:id="0" w:name="OLE_LINK1"/>
            <w:r>
              <w:rPr>
                <w:rFonts w:hint="eastAsia" w:ascii="仿宋_GB2312" w:hAnsi="宋体" w:eastAsia="仿宋_GB2312" w:cs="宋体"/>
                <w:bCs/>
                <w:kern w:val="0"/>
                <w:sz w:val="21"/>
                <w:szCs w:val="21"/>
                <w:lang w:val="en-US" w:eastAsia="zh-CN"/>
              </w:rPr>
              <w:t>2025年5月30日18：00</w:t>
            </w:r>
            <w:bookmarkEnd w:id="0"/>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备注：</w:t>
            </w:r>
          </w:p>
        </w:tc>
        <w:tc>
          <w:tcPr>
            <w:tcW w:w="8445" w:type="dxa"/>
            <w:gridSpan w:val="4"/>
            <w:vAlign w:val="top"/>
          </w:tcPr>
          <w:p>
            <w:pPr>
              <w:widowControl/>
              <w:spacing w:line="300" w:lineRule="exact"/>
              <w:jc w:val="both"/>
              <w:rPr>
                <w:rFonts w:hint="default" w:ascii="仿宋_GB2312" w:hAnsi="宋体" w:eastAsia="宋体" w:cs="宋体"/>
                <w:bCs/>
                <w:kern w:val="0"/>
                <w:sz w:val="21"/>
                <w:szCs w:val="21"/>
                <w:lang w:val="en-US" w:eastAsia="zh-CN"/>
              </w:rPr>
            </w:pPr>
            <w:r>
              <w:rPr>
                <w:rFonts w:hint="eastAsia" w:ascii="仿宋_GB2312" w:hAnsi="宋体" w:eastAsia="仿宋_GB2312" w:cs="宋体"/>
                <w:bCs/>
                <w:kern w:val="0"/>
                <w:sz w:val="21"/>
                <w:szCs w:val="21"/>
                <w:lang w:val="en-US" w:eastAsia="zh-CN"/>
              </w:rPr>
              <w:t>本工程发布时间不少于3个工作日；报价文件高于限价的将认定为未通过初步筛选；报价承包商超过10家的，将剔除最低报价承包商。</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3" w:type="dxa"/>
            <w:gridSpan w:val="5"/>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基本信息</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建设单位：</w:t>
            </w:r>
          </w:p>
        </w:tc>
        <w:tc>
          <w:tcPr>
            <w:tcW w:w="3053"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深圳市龙岗区南湾街道办事处</w:t>
            </w:r>
          </w:p>
        </w:tc>
        <w:tc>
          <w:tcPr>
            <w:tcW w:w="1830"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经办人及电话：</w:t>
            </w:r>
          </w:p>
        </w:tc>
        <w:tc>
          <w:tcPr>
            <w:tcW w:w="3562"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徐工 0755-89965343</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报名截止时间：</w:t>
            </w:r>
          </w:p>
        </w:tc>
        <w:tc>
          <w:tcPr>
            <w:tcW w:w="8445" w:type="dxa"/>
            <w:gridSpan w:val="4"/>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2025年5月30日18：00</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trHeight w:val="1250" w:hRule="atLeast"/>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本次发包内容及投标上限价：</w:t>
            </w:r>
          </w:p>
        </w:tc>
        <w:tc>
          <w:tcPr>
            <w:tcW w:w="8445" w:type="dxa"/>
            <w:gridSpan w:val="4"/>
          </w:tcPr>
          <w:p>
            <w:pPr>
              <w:pStyle w:val="2"/>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南湾街道丹平社区丹平路440号西侧挡墙等5处地质灾害和危险边坡治理工程（变形监测）</w:t>
            </w:r>
            <w:r>
              <w:rPr>
                <w:rFonts w:hint="eastAsia" w:ascii="仿宋_GB2312" w:hAnsi="宋体" w:eastAsia="仿宋_GB2312" w:cs="宋体"/>
                <w:b w:val="0"/>
                <w:bCs/>
                <w:kern w:val="0"/>
                <w:sz w:val="21"/>
                <w:szCs w:val="21"/>
                <w:lang w:val="en-US" w:eastAsia="zh-CN"/>
              </w:rPr>
              <w:t>，项目总投资为1221.78万元，本次询价负责该项目指定的变形监测工作，</w:t>
            </w:r>
            <w:r>
              <w:rPr>
                <w:rFonts w:hint="eastAsia" w:ascii="仿宋_GB2312" w:hAnsi="宋体" w:eastAsia="仿宋_GB2312" w:cs="宋体"/>
                <w:bCs/>
                <w:kern w:val="0"/>
                <w:sz w:val="21"/>
                <w:szCs w:val="21"/>
                <w:lang w:val="en-US" w:eastAsia="zh-CN"/>
              </w:rPr>
              <w:t>其中包括但不仅限于布设基准点34个、水平位移及沉</w:t>
            </w:r>
            <w:bookmarkStart w:id="3" w:name="_GoBack"/>
            <w:bookmarkEnd w:id="3"/>
            <w:r>
              <w:rPr>
                <w:rFonts w:hint="eastAsia" w:ascii="仿宋_GB2312" w:hAnsi="宋体" w:eastAsia="仿宋_GB2312" w:cs="宋体"/>
                <w:bCs/>
                <w:kern w:val="0"/>
                <w:sz w:val="21"/>
                <w:szCs w:val="21"/>
                <w:lang w:val="en-US" w:eastAsia="zh-CN"/>
              </w:rPr>
              <w:t>降监测点34个、建筑物沉降监测点26个、水平位移监测34个、沉降监测34个、周边建筑沉降监测26个、监测报告编制、监测数据处理、上传、后续服务以及其他相关工作，监测频率为施工期间监测频率每周2次，在边坡土方开挖和下大雨时，每天观测1次；待位移和沉降稳定到后，每周观测1次；如变化幅度大，需加密观测。当坡顶位移或沉降达到预警值时，须停止施工，分析原因和采取措施。工程竣工后观测频率为每15天一次，3个月后每月一次，边坡监测时间为工程竣工后2年，预计暂定监测45次，变形监测费暂估价为31.22万元，报名上限价为暂估价下浮8%，即28.72万元，报名单位按暂估监测费自主合理地报价，并填写下浮率，报价不得超过报名上限价，合同暂定价及下浮率为最终选取单位的报名报价及下浮率，最终结算价以审计部门审定金额（或造价管理机构备案完成的备案金额）为准。</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工程地址：</w:t>
            </w:r>
          </w:p>
        </w:tc>
        <w:tc>
          <w:tcPr>
            <w:tcW w:w="8445" w:type="dxa"/>
            <w:gridSpan w:val="4"/>
            <w:vAlign w:val="top"/>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龙岗区南湾街道辖区</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计划开工日期：</w:t>
            </w:r>
          </w:p>
        </w:tc>
        <w:tc>
          <w:tcPr>
            <w:tcW w:w="3053" w:type="dxa"/>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2025年6月9日</w:t>
            </w:r>
          </w:p>
        </w:tc>
        <w:tc>
          <w:tcPr>
            <w:tcW w:w="1830" w:type="dxa"/>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计划竣工日期：</w:t>
            </w:r>
          </w:p>
        </w:tc>
        <w:tc>
          <w:tcPr>
            <w:tcW w:w="3562" w:type="dxa"/>
            <w:gridSpan w:val="2"/>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2027年12月6日</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1838" w:type="dxa"/>
            <w:vAlign w:val="center"/>
          </w:tcPr>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报名审查文件</w:t>
            </w:r>
          </w:p>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要求：</w:t>
            </w:r>
          </w:p>
        </w:tc>
        <w:tc>
          <w:tcPr>
            <w:tcW w:w="3053" w:type="dxa"/>
            <w:vAlign w:val="top"/>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（1）</w:t>
            </w:r>
            <w:r>
              <w:rPr>
                <w:rFonts w:hint="eastAsia" w:ascii="仿宋_GB2312" w:hAnsi="宋体" w:eastAsia="仿宋_GB2312" w:cs="宋体"/>
                <w:bCs/>
                <w:kern w:val="0"/>
                <w:sz w:val="21"/>
                <w:szCs w:val="21"/>
                <w:highlight w:val="none"/>
                <w:lang w:val="en-US" w:eastAsia="zh-CN"/>
              </w:rPr>
              <w:t>企业营业执照、资质（职称）证书有效期至少在60天内、法人授权委托书、经办人身份证和联系方式（复印件加盖公章）</w:t>
            </w:r>
            <w:r>
              <w:rPr>
                <w:rFonts w:hint="eastAsia" w:ascii="仿宋_GB2312" w:hAnsi="宋体" w:eastAsia="仿宋_GB2312" w:cs="宋体"/>
                <w:bCs/>
                <w:kern w:val="0"/>
                <w:sz w:val="21"/>
                <w:szCs w:val="21"/>
                <w:lang w:val="en-US" w:eastAsia="zh-CN"/>
              </w:rPr>
              <w:t>；（2）</w:t>
            </w:r>
            <w:r>
              <w:rPr>
                <w:rFonts w:hint="eastAsia" w:ascii="仿宋_GB2312" w:hAnsi="宋体" w:eastAsia="仿宋_GB2312" w:cs="宋体"/>
                <w:bCs/>
                <w:color w:val="auto"/>
                <w:kern w:val="0"/>
                <w:sz w:val="21"/>
                <w:szCs w:val="21"/>
                <w:highlight w:val="none"/>
                <w:lang w:val="en-US" w:eastAsia="zh-CN"/>
              </w:rPr>
              <w:t>提供包括但不仅限于人员、工期承诺、符合该项目内容的明确方案等材料（加盖公章）；（3）报名单位需提供十个网站查询结果，如有法律诉讼记录须提供所有法律诉讼的结案证明材料及情况说明（十个网站查询路径及范本见附件）；（</w:t>
            </w:r>
            <w:r>
              <w:rPr>
                <w:rFonts w:hint="eastAsia" w:ascii="仿宋_GB2312" w:hAnsi="宋体" w:eastAsia="仿宋_GB2312" w:cs="宋体"/>
                <w:bCs/>
                <w:kern w:val="0"/>
                <w:sz w:val="21"/>
                <w:szCs w:val="21"/>
                <w:highlight w:val="none"/>
                <w:lang w:val="en-US" w:eastAsia="zh-CN"/>
              </w:rPr>
              <w:t>4）所有材料需盖章与报名材料一同递交；上述材料文件盖章电子版一份（PDF和WORD均可，刻录在U盘）</w:t>
            </w:r>
          </w:p>
        </w:tc>
        <w:tc>
          <w:tcPr>
            <w:tcW w:w="1830" w:type="dxa"/>
            <w:vAlign w:val="center"/>
          </w:tcPr>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报名文件递交</w:t>
            </w:r>
          </w:p>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地点：</w:t>
            </w:r>
          </w:p>
        </w:tc>
        <w:tc>
          <w:tcPr>
            <w:tcW w:w="3562"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报名审查文件（含电子版）档案袋密封盖骑缝章提交到南湾街道办事处（二办）A205（不接收快递投递文件）</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拟派项目负责人最低资格等级：</w:t>
            </w:r>
          </w:p>
        </w:tc>
        <w:tc>
          <w:tcPr>
            <w:tcW w:w="3053" w:type="dxa"/>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default" w:ascii="仿宋_GB2312" w:hAnsi="宋体" w:eastAsia="仿宋_GB2312" w:cs="宋体"/>
                <w:bCs/>
                <w:kern w:val="0"/>
                <w:sz w:val="21"/>
                <w:szCs w:val="21"/>
                <w:lang w:val="en-US" w:eastAsia="zh-CN" w:bidi="ar-SA"/>
              </w:rPr>
              <w:t>注册土木工程师(岩土)执业资格</w:t>
            </w:r>
          </w:p>
        </w:tc>
        <w:tc>
          <w:tcPr>
            <w:tcW w:w="1830" w:type="dxa"/>
            <w:vAlign w:val="center"/>
          </w:tcPr>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拟派项目负责人</w:t>
            </w:r>
          </w:p>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专业：</w:t>
            </w:r>
          </w:p>
        </w:tc>
        <w:tc>
          <w:tcPr>
            <w:tcW w:w="3562"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default" w:ascii="仿宋_GB2312" w:hAnsi="宋体" w:eastAsia="仿宋_GB2312" w:cs="宋体"/>
                <w:bCs/>
                <w:kern w:val="0"/>
                <w:sz w:val="21"/>
                <w:szCs w:val="21"/>
                <w:lang w:val="en-US" w:eastAsia="zh-CN" w:bidi="ar-SA"/>
              </w:rPr>
              <w:t>土木工程(岩土)</w:t>
            </w:r>
            <w:r>
              <w:rPr>
                <w:rFonts w:hint="eastAsia" w:ascii="仿宋_GB2312" w:hAnsi="宋体" w:eastAsia="仿宋_GB2312" w:cs="宋体"/>
                <w:bCs/>
                <w:kern w:val="0"/>
                <w:sz w:val="21"/>
                <w:szCs w:val="21"/>
                <w:lang w:val="en-US" w:eastAsia="zh-CN" w:bidi="ar-SA"/>
              </w:rPr>
              <w:t>专业</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报名单位申请必须同时具备企业最低资质要求：</w:t>
            </w:r>
          </w:p>
        </w:tc>
        <w:tc>
          <w:tcPr>
            <w:tcW w:w="3053" w:type="dxa"/>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仿宋_GB2312" w:eastAsia="仿宋_GB2312" w:cs="仿宋_GB2312"/>
                <w:color w:val="auto"/>
                <w:kern w:val="0"/>
                <w:sz w:val="21"/>
                <w:szCs w:val="21"/>
                <w:highlight w:val="none"/>
                <w:u w:val="none" w:color="auto"/>
                <w:lang w:val="en-US" w:eastAsia="zh-CN"/>
              </w:rPr>
              <w:t>工程勘察（岩土工程物探测试检测监测）专业资质乙级</w:t>
            </w:r>
          </w:p>
        </w:tc>
        <w:tc>
          <w:tcPr>
            <w:tcW w:w="1830" w:type="dxa"/>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bidi="ar-SA"/>
              </w:rPr>
              <w:t>是否接受联合体报名：</w:t>
            </w:r>
          </w:p>
        </w:tc>
        <w:tc>
          <w:tcPr>
            <w:tcW w:w="3562"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bidi="ar-SA"/>
              </w:rPr>
              <w:t>否</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其他报名条件：</w:t>
            </w:r>
          </w:p>
        </w:tc>
        <w:tc>
          <w:tcPr>
            <w:tcW w:w="8445" w:type="dxa"/>
            <w:gridSpan w:val="4"/>
            <w:vAlign w:val="top"/>
          </w:tcPr>
          <w:p>
            <w:pPr>
              <w:widowControl/>
              <w:suppressAutoHyphens/>
              <w:spacing w:line="300" w:lineRule="exact"/>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1、报名单位须具有独立法人资格或具有独立承担民事责任的能力的其他组织，不接受分公司或者分支机构参与报名；</w:t>
            </w:r>
          </w:p>
          <w:p>
            <w:pPr>
              <w:widowControl/>
              <w:suppressAutoHyphens/>
              <w:spacing w:line="300" w:lineRule="exact"/>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请报名单位附带经办人工作关系证明、法人证明书、法人授权委托书、被委托人身份证及6个月社保证明（另附在档案袋外），以便查验；不能提供的报名单位及非授权委托书上标明的被委托人本人递交报名文件，我街道将拒收报名文件。</w:t>
            </w:r>
          </w:p>
          <w:p>
            <w:pPr>
              <w:suppressAutoHyphens/>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3、报名文件中若含有承诺派遣人员资质、人员数量以及工期等关键要素，将会在后续合同签订中加以明确（需与报名文件一致）并注明对应的违约罚则。</w:t>
            </w:r>
          </w:p>
          <w:p>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报名文件中提供的项目负责人等与本项目有关人员应均为报名单位正式员工，且提供人员身份证件及至少6个月的社保缴纳证明作为佐证材料；注：报名文件所提供的项目负责人等项目有关人员须确保按时到岗开展工作；</w:t>
            </w:r>
          </w:p>
          <w:p>
            <w:pPr>
              <w:rPr>
                <w:rFonts w:hint="default"/>
                <w:lang w:val="en-US" w:eastAsia="zh-CN"/>
              </w:rPr>
            </w:pPr>
            <w:r>
              <w:rPr>
                <w:rFonts w:hint="eastAsia" w:ascii="仿宋_GB2312" w:hAnsi="仿宋_GB2312" w:eastAsia="仿宋_GB2312" w:cs="仿宋_GB2312"/>
                <w:lang w:val="en-US" w:eastAsia="zh-CN"/>
              </w:rPr>
              <w:t>5、</w:t>
            </w:r>
            <w:r>
              <w:rPr>
                <w:rFonts w:hint="eastAsia" w:ascii="仿宋_GB2312" w:hAnsi="仿宋_GB2312" w:eastAsia="仿宋_GB2312" w:cs="仿宋_GB2312"/>
                <w:b w:val="0"/>
                <w:bCs w:val="0"/>
                <w:lang w:val="en-US" w:eastAsia="zh-CN"/>
              </w:rPr>
              <w:t>若报名材料缺失或未按报名文件要求提交资料的，我街道将取消报名单位入围资格。</w:t>
            </w:r>
          </w:p>
        </w:tc>
      </w:tr>
    </w:tbl>
    <w:p>
      <w:pPr>
        <w:spacing w:line="300" w:lineRule="exact"/>
        <w:rPr>
          <w:rFonts w:hint="default"/>
          <w:szCs w:val="21"/>
          <w:lang w:val="en-US" w:eastAsia="zh-CN"/>
        </w:rPr>
      </w:pPr>
      <w:r>
        <w:rPr>
          <w:rFonts w:hint="eastAsia"/>
          <w:szCs w:val="21"/>
          <w:lang w:val="en-US" w:eastAsia="zh-CN"/>
        </w:rPr>
        <w:t>项目编码：</w:t>
      </w:r>
    </w:p>
    <w:p>
      <w:pPr>
        <w:spacing w:line="300" w:lineRule="exact"/>
        <w:rPr>
          <w:rFonts w:hint="default"/>
          <w:szCs w:val="21"/>
          <w:lang w:val="en-US" w:eastAsia="zh-CN"/>
        </w:rPr>
      </w:pPr>
      <w:r>
        <w:rPr>
          <w:rFonts w:hint="eastAsia" w:ascii="仿宋_GB2312" w:hAnsi="宋体" w:eastAsia="仿宋_GB2312" w:cs="宋体"/>
          <w:bCs/>
          <w:kern w:val="0"/>
          <w:sz w:val="21"/>
          <w:szCs w:val="21"/>
          <w:lang w:val="en-US" w:eastAsia="zh-CN"/>
        </w:rPr>
        <w:t>南湾工程NWGC/立项日期20231206/工程编号001-类型(1-施工、2-设计、3-监理、4-预结算、5-其他)</w:t>
      </w:r>
    </w:p>
    <w:p>
      <w:pPr>
        <w:spacing w:line="300" w:lineRule="exact"/>
        <w:rPr>
          <w:rFonts w:hint="default"/>
          <w:szCs w:val="21"/>
          <w:lang w:val="en-US" w:eastAsia="zh-CN"/>
        </w:rPr>
        <w:sectPr>
          <w:pgSz w:w="11905" w:h="16838"/>
          <w:pgMar w:top="1440" w:right="1587" w:bottom="1440" w:left="1587" w:header="851" w:footer="992" w:gutter="0"/>
          <w:pgNumType w:fmt="decimal"/>
          <w:cols w:space="0" w:num="1"/>
          <w:rtlGutter w:val="0"/>
          <w:docGrid w:type="lines" w:linePitch="319" w:charSpace="0"/>
        </w:sectPr>
      </w:pPr>
    </w:p>
    <w:p>
      <w:pPr>
        <w:rPr>
          <w:rFonts w:hint="eastAsia" w:ascii="方正小标宋简体" w:hAnsi="方正小标宋简体" w:eastAsia="方正小标宋简体" w:cs="方正小标宋简体"/>
          <w:sz w:val="28"/>
          <w:szCs w:val="28"/>
          <w:lang w:val="en-US" w:eastAsia="zh-CN"/>
        </w:rPr>
      </w:pPr>
      <w:r>
        <w:rPr>
          <w:rFonts w:hint="eastAsia" w:ascii="方正小标宋简体" w:hAnsi="方正小标宋简体" w:eastAsia="方正小标宋简体" w:cs="方正小标宋简体"/>
          <w:sz w:val="28"/>
          <w:szCs w:val="28"/>
          <w:lang w:val="en-US" w:eastAsia="zh-CN"/>
        </w:rPr>
        <w:t>附件1：</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44"/>
          <w:szCs w:val="44"/>
        </w:rPr>
      </w:pPr>
      <w:r>
        <w:rPr>
          <w:rFonts w:hint="eastAsia"/>
          <w:sz w:val="44"/>
          <w:szCs w:val="44"/>
        </w:rPr>
        <w:t>承诺函</w:t>
      </w:r>
    </w:p>
    <w:p>
      <w:pPr>
        <w:keepNext w:val="0"/>
        <w:keepLines w:val="0"/>
        <w:pageBreakBefore w:val="0"/>
        <w:widowControl w:val="0"/>
        <w:kinsoku/>
        <w:wordWrap/>
        <w:overflowPunct/>
        <w:topLinePunct w:val="0"/>
        <w:autoSpaceDE/>
        <w:autoSpaceDN/>
        <w:bidi w:val="0"/>
        <w:adjustRightInd/>
        <w:snapToGrid/>
        <w:spacing w:after="0" w:line="440" w:lineRule="exact"/>
        <w:textAlignment w:val="auto"/>
        <w:rPr>
          <w:rFonts w:ascii="宋体" w:hAnsi="宋体" w:eastAsia="宋体" w:cs="宋体"/>
          <w:sz w:val="28"/>
          <w:szCs w:val="28"/>
        </w:rPr>
      </w:pPr>
      <w:r>
        <w:rPr>
          <w:rFonts w:hint="eastAsia" w:ascii="宋体" w:hAnsi="宋体" w:eastAsia="宋体" w:cs="宋体"/>
          <w:sz w:val="28"/>
          <w:szCs w:val="28"/>
        </w:rPr>
        <w:t>致南湾街道办：</w:t>
      </w:r>
    </w:p>
    <w:p>
      <w:pPr>
        <w:keepNext w:val="0"/>
        <w:keepLines w:val="0"/>
        <w:pageBreakBefore w:val="0"/>
        <w:widowControl w:val="0"/>
        <w:kinsoku/>
        <w:wordWrap/>
        <w:overflowPunct/>
        <w:topLinePunct w:val="0"/>
        <w:autoSpaceDE/>
        <w:autoSpaceDN/>
        <w:bidi w:val="0"/>
        <w:adjustRightInd/>
        <w:snapToGrid/>
        <w:spacing w:after="0" w:line="44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我司承诺如下：</w:t>
      </w:r>
    </w:p>
    <w:p>
      <w:pPr>
        <w:keepNext w:val="0"/>
        <w:keepLines w:val="0"/>
        <w:pageBreakBefore w:val="0"/>
        <w:widowControl w:val="0"/>
        <w:kinsoku/>
        <w:wordWrap/>
        <w:overflowPunct/>
        <w:topLinePunct w:val="0"/>
        <w:autoSpaceDE/>
        <w:autoSpaceDN/>
        <w:bidi w:val="0"/>
        <w:adjustRightInd/>
        <w:snapToGrid/>
        <w:spacing w:after="0" w:line="44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1、本公司及其法定代表人参与政府采购项目投标近三年内（投标人成立不足三年的可从成立之日起算）在经营活动中没有重大违法记录；</w:t>
      </w:r>
    </w:p>
    <w:p>
      <w:pPr>
        <w:keepNext w:val="0"/>
        <w:keepLines w:val="0"/>
        <w:pageBreakBefore w:val="0"/>
        <w:widowControl w:val="0"/>
        <w:kinsoku/>
        <w:wordWrap/>
        <w:overflowPunct/>
        <w:topLinePunct w:val="0"/>
        <w:autoSpaceDE/>
        <w:autoSpaceDN/>
        <w:bidi w:val="0"/>
        <w:adjustRightInd/>
        <w:snapToGrid/>
        <w:spacing w:after="0" w:line="44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2、本公司及其法定代表人近三年内（投标人成立不足三年的可从成立之日起算）无行贿犯罪记录；</w:t>
      </w:r>
    </w:p>
    <w:p>
      <w:pPr>
        <w:keepNext w:val="0"/>
        <w:keepLines w:val="0"/>
        <w:pageBreakBefore w:val="0"/>
        <w:widowControl w:val="0"/>
        <w:kinsoku/>
        <w:wordWrap/>
        <w:overflowPunct/>
        <w:topLinePunct w:val="0"/>
        <w:autoSpaceDE/>
        <w:autoSpaceDN/>
        <w:bidi w:val="0"/>
        <w:adjustRightInd/>
        <w:snapToGrid/>
        <w:spacing w:after="0" w:line="44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3、本公司在招标投标活动中无串通投标、弄虚作假不良行为记录被暂停投标资格期间或涉嫌串通投标、弄虚作假并正在接受主管部门调查的情况；</w:t>
      </w:r>
    </w:p>
    <w:p>
      <w:pPr>
        <w:keepNext w:val="0"/>
        <w:keepLines w:val="0"/>
        <w:pageBreakBefore w:val="0"/>
        <w:widowControl w:val="0"/>
        <w:kinsoku/>
        <w:wordWrap/>
        <w:overflowPunct/>
        <w:topLinePunct w:val="0"/>
        <w:autoSpaceDE/>
        <w:autoSpaceDN/>
        <w:bidi w:val="0"/>
        <w:adjustRightInd/>
        <w:snapToGrid/>
        <w:spacing w:after="0" w:line="44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4、本公司无因违反建筑工程法律、法规规定而受到建设行政主管部门红色警示并正在红色警示期间的情况；</w:t>
      </w:r>
    </w:p>
    <w:p>
      <w:pPr>
        <w:spacing w:after="0" w:line="480" w:lineRule="exact"/>
        <w:ind w:firstLine="560" w:firstLineChars="200"/>
        <w:jc w:val="both"/>
        <w:rPr>
          <w:rFonts w:ascii="宋体" w:hAnsi="宋体" w:eastAsia="宋体" w:cs="宋体"/>
          <w:sz w:val="28"/>
          <w:szCs w:val="28"/>
        </w:rPr>
      </w:pPr>
      <w:r>
        <w:rPr>
          <w:rFonts w:hint="eastAsia" w:ascii="宋体" w:hAnsi="宋体" w:eastAsia="宋体" w:cs="宋体"/>
          <w:sz w:val="28"/>
          <w:szCs w:val="28"/>
        </w:rPr>
        <w:t>5、符合国家法规政策关于诚信管理的要求，至投标截止时间，本公司未有在“信用中国”网（</w:t>
      </w:r>
      <w:r>
        <w:rPr>
          <w:rFonts w:hint="eastAsia" w:ascii="宋体" w:hAnsi="宋体" w:eastAsia="宋体" w:cs="宋体"/>
          <w:sz w:val="28"/>
          <w:szCs w:val="28"/>
          <w:lang w:val="en-US" w:eastAsia="zh-CN"/>
        </w:rPr>
        <w:t>www.creditchina.gov.cn</w:t>
      </w:r>
      <w:r>
        <w:rPr>
          <w:rFonts w:hint="eastAsia" w:ascii="宋体" w:hAnsi="宋体" w:eastAsia="宋体" w:cs="宋体"/>
          <w:sz w:val="28"/>
          <w:szCs w:val="28"/>
        </w:rPr>
        <w:t>）、中国政府采购网（</w:t>
      </w:r>
      <w:r>
        <w:rPr>
          <w:rFonts w:hint="eastAsia" w:ascii="宋体" w:hAnsi="宋体" w:eastAsia="宋体" w:cs="宋体"/>
          <w:sz w:val="28"/>
          <w:szCs w:val="28"/>
          <w:lang w:val="en-US" w:eastAsia="zh-CN"/>
        </w:rPr>
        <w:t>www.ccgp.gov.cn/search/cr/</w:t>
      </w:r>
      <w:r>
        <w:rPr>
          <w:rFonts w:hint="eastAsia" w:ascii="宋体" w:hAnsi="宋体" w:eastAsia="宋体" w:cs="宋体"/>
          <w:sz w:val="28"/>
          <w:szCs w:val="28"/>
        </w:rPr>
        <w:t>）、深圳市政府采购监督管理网（</w:t>
      </w:r>
      <w:r>
        <w:rPr>
          <w:rFonts w:hint="eastAsia" w:ascii="宋体" w:hAnsi="宋体" w:eastAsia="宋体" w:cs="宋体"/>
          <w:sz w:val="28"/>
          <w:szCs w:val="28"/>
          <w:lang w:val="en-US" w:eastAsia="zh-CN"/>
        </w:rPr>
        <w:t>zfcg.sz.gov.cn</w:t>
      </w:r>
      <w:r>
        <w:rPr>
          <w:rFonts w:hint="eastAsia" w:ascii="宋体" w:hAnsi="宋体" w:eastAsia="宋体" w:cs="宋体"/>
          <w:sz w:val="28"/>
          <w:szCs w:val="28"/>
        </w:rPr>
        <w:t>）、和”国家企业信用信息公示系统（</w:t>
      </w:r>
      <w:r>
        <w:fldChar w:fldCharType="begin"/>
      </w:r>
      <w:r>
        <w:instrText xml:space="preserve"> HYPERLINK </w:instrText>
      </w:r>
      <w:r>
        <w:fldChar w:fldCharType="separate"/>
      </w:r>
      <w:r>
        <w:rPr>
          <w:rFonts w:hint="eastAsia" w:ascii="宋体" w:hAnsi="宋体" w:eastAsia="宋体" w:cs="宋体"/>
          <w:sz w:val="28"/>
          <w:szCs w:val="28"/>
        </w:rPr>
        <w:t>shiming.gsxt.gov.cn）”等</w:t>
      </w:r>
      <w:r>
        <w:rPr>
          <w:rFonts w:hint="eastAsia" w:ascii="宋体" w:hAnsi="宋体" w:eastAsia="宋体" w:cs="宋体"/>
          <w:sz w:val="28"/>
          <w:szCs w:val="28"/>
          <w:lang w:val="en-US" w:eastAsia="zh-CN"/>
        </w:rPr>
        <w:t>4</w:t>
      </w:r>
      <w:r>
        <w:rPr>
          <w:rFonts w:hint="eastAsia" w:ascii="宋体" w:hAnsi="宋体" w:eastAsia="宋体" w:cs="宋体"/>
          <w:sz w:val="28"/>
          <w:szCs w:val="28"/>
        </w:rPr>
        <w:fldChar w:fldCharType="end"/>
      </w:r>
      <w:r>
        <w:rPr>
          <w:rFonts w:hint="eastAsia" w:ascii="宋体" w:hAnsi="宋体" w:eastAsia="宋体" w:cs="宋体"/>
          <w:sz w:val="28"/>
          <w:szCs w:val="28"/>
        </w:rPr>
        <w:t>个官网中列入“失信被执行人、重大税收违法案件当事人名单、政府采购严重违法失信行为记录名单”。</w:t>
      </w:r>
    </w:p>
    <w:p>
      <w:pPr>
        <w:keepNext w:val="0"/>
        <w:keepLines w:val="0"/>
        <w:pageBreakBefore w:val="0"/>
        <w:widowControl w:val="0"/>
        <w:kinsoku/>
        <w:wordWrap/>
        <w:overflowPunct/>
        <w:topLinePunct w:val="0"/>
        <w:autoSpaceDE/>
        <w:autoSpaceDN/>
        <w:bidi w:val="0"/>
        <w:adjustRightInd/>
        <w:snapToGrid/>
        <w:spacing w:after="0" w:line="440" w:lineRule="exact"/>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6、经查询，我司未入住建的“失信被执行人”名单。</w:t>
      </w:r>
    </w:p>
    <w:p>
      <w:pPr>
        <w:pStyle w:val="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7、我司报名所提供的材料真实有效，提供的项目人员会投入到报名项目中，且积极配合建设单位开展相关工作并及时做出响应。</w:t>
      </w:r>
    </w:p>
    <w:p>
      <w:pPr>
        <w:pStyle w:val="2"/>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8、我司承诺报名材料所提供的项目负责人等项目人员</w:t>
      </w:r>
      <w:r>
        <w:rPr>
          <w:rFonts w:hint="eastAsia" w:ascii="宋体" w:hAnsi="宋体" w:cs="宋体"/>
          <w:color w:val="000000" w:themeColor="text1"/>
          <w:sz w:val="28"/>
          <w:szCs w:val="28"/>
          <w:lang w:val="en-US" w:eastAsia="zh-CN"/>
          <w14:textFill>
            <w14:solidFill>
              <w14:schemeClr w14:val="tx1"/>
            </w14:solidFill>
          </w14:textFill>
        </w:rPr>
        <w:t>按时到岗开展工作。</w:t>
      </w:r>
    </w:p>
    <w:p>
      <w:pPr>
        <w:keepNext w:val="0"/>
        <w:keepLines w:val="0"/>
        <w:pageBreakBefore w:val="0"/>
        <w:widowControl w:val="0"/>
        <w:kinsoku/>
        <w:wordWrap/>
        <w:overflowPunct/>
        <w:topLinePunct w:val="0"/>
        <w:autoSpaceDE/>
        <w:autoSpaceDN/>
        <w:bidi w:val="0"/>
        <w:adjustRightInd/>
        <w:snapToGrid/>
        <w:spacing w:after="0" w:line="44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以上承诺真实有效。如存在虚假情况，我司同意一切不利后果由我司自行承担。</w:t>
      </w:r>
    </w:p>
    <w:p>
      <w:pPr>
        <w:keepNext w:val="0"/>
        <w:keepLines w:val="0"/>
        <w:pageBreakBefore w:val="0"/>
        <w:widowControl w:val="0"/>
        <w:kinsoku/>
        <w:wordWrap/>
        <w:overflowPunct/>
        <w:topLinePunct w:val="0"/>
        <w:autoSpaceDE/>
        <w:autoSpaceDN/>
        <w:bidi w:val="0"/>
        <w:adjustRightInd/>
        <w:snapToGrid/>
        <w:spacing w:after="0" w:line="440" w:lineRule="exact"/>
        <w:ind w:firstLine="3640" w:firstLineChars="1300"/>
        <w:jc w:val="both"/>
        <w:textAlignment w:val="auto"/>
        <w:rPr>
          <w:rFonts w:hint="eastAsia" w:ascii="宋体" w:hAnsi="宋体" w:eastAsia="宋体" w:cs="宋体"/>
          <w:sz w:val="28"/>
          <w:szCs w:val="28"/>
        </w:rPr>
      </w:pPr>
      <w:r>
        <w:rPr>
          <w:rFonts w:hint="eastAsia" w:ascii="宋体" w:hAnsi="宋体" w:eastAsia="宋体" w:cs="宋体"/>
          <w:sz w:val="28"/>
          <w:szCs w:val="28"/>
        </w:rPr>
        <w:t>承诺单位（公司）盖章：</w:t>
      </w:r>
    </w:p>
    <w:p>
      <w:pPr>
        <w:keepNext w:val="0"/>
        <w:keepLines w:val="0"/>
        <w:pageBreakBefore w:val="0"/>
        <w:widowControl w:val="0"/>
        <w:kinsoku/>
        <w:wordWrap/>
        <w:overflowPunct/>
        <w:topLinePunct w:val="0"/>
        <w:autoSpaceDE/>
        <w:autoSpaceDN/>
        <w:bidi w:val="0"/>
        <w:adjustRightInd/>
        <w:snapToGrid/>
        <w:spacing w:after="0" w:line="440" w:lineRule="exact"/>
        <w:ind w:firstLine="3640" w:firstLineChars="1300"/>
        <w:jc w:val="center"/>
        <w:textAlignment w:val="auto"/>
        <w:rPr>
          <w:rFonts w:hint="eastAsia" w:ascii="宋体" w:hAnsi="宋体" w:eastAsia="宋体" w:cs="宋体"/>
          <w:sz w:val="28"/>
          <w:szCs w:val="28"/>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sz w:val="28"/>
          <w:szCs w:val="28"/>
          <w:lang w:val="en-US" w:eastAsia="zh-CN"/>
        </w:rPr>
        <w:t>日期：</w:t>
      </w:r>
      <w:r>
        <w:rPr>
          <w:rFonts w:hint="eastAsia" w:ascii="宋体" w:hAnsi="宋体" w:cs="宋体"/>
          <w:sz w:val="28"/>
          <w:szCs w:val="28"/>
          <w:lang w:val="en-US" w:eastAsia="zh-CN"/>
        </w:rPr>
        <w:t xml:space="preserve">    </w:t>
      </w:r>
      <w:r>
        <w:rPr>
          <w:rFonts w:hint="eastAsia" w:ascii="宋体" w:hAnsi="宋体" w:eastAsia="宋体" w:cs="宋体"/>
          <w:sz w:val="28"/>
          <w:szCs w:val="28"/>
          <w:lang w:val="en-US" w:eastAsia="zh-CN"/>
        </w:rPr>
        <w:t>年</w:t>
      </w:r>
      <w:r>
        <w:rPr>
          <w:rFonts w:hint="eastAsia" w:ascii="宋体" w:hAnsi="宋体" w:cs="宋体"/>
          <w:sz w:val="28"/>
          <w:szCs w:val="28"/>
          <w:lang w:val="en-US" w:eastAsia="zh-CN"/>
        </w:rPr>
        <w:t xml:space="preserve">  </w:t>
      </w:r>
      <w:r>
        <w:rPr>
          <w:rFonts w:hint="eastAsia" w:ascii="宋体" w:hAnsi="宋体" w:eastAsia="宋体" w:cs="宋体"/>
          <w:sz w:val="28"/>
          <w:szCs w:val="28"/>
          <w:lang w:val="en-US" w:eastAsia="zh-CN"/>
        </w:rPr>
        <w:t>月</w:t>
      </w:r>
      <w:r>
        <w:rPr>
          <w:rFonts w:hint="eastAsia" w:ascii="宋体" w:hAnsi="宋体" w:cs="宋体"/>
          <w:sz w:val="28"/>
          <w:szCs w:val="28"/>
          <w:lang w:val="en-US" w:eastAsia="zh-CN"/>
        </w:rPr>
        <w:t xml:space="preserve">  </w:t>
      </w:r>
      <w:r>
        <w:rPr>
          <w:rFonts w:hint="eastAsia" w:ascii="宋体" w:hAnsi="宋体" w:eastAsia="宋体" w:cs="宋体"/>
          <w:sz w:val="28"/>
          <w:szCs w:val="28"/>
          <w:lang w:val="en-US" w:eastAsia="zh-CN"/>
        </w:rPr>
        <w:t>日</w:t>
      </w:r>
    </w:p>
    <w:p>
      <w:pPr>
        <w:rPr>
          <w:rFonts w:hint="eastAsia" w:ascii="方正小标宋简体" w:hAnsi="方正小标宋简体" w:eastAsia="方正小标宋简体" w:cs="方正小标宋简体"/>
          <w:sz w:val="28"/>
          <w:szCs w:val="28"/>
          <w:lang w:val="en-US" w:eastAsia="en-US"/>
        </w:rPr>
      </w:pPr>
      <w:r>
        <w:rPr>
          <w:rFonts w:hint="eastAsia" w:ascii="方正小标宋简体" w:hAnsi="方正小标宋简体" w:eastAsia="方正小标宋简体" w:cs="方正小标宋简体"/>
          <w:sz w:val="28"/>
          <w:szCs w:val="28"/>
          <w:lang w:val="en-US" w:eastAsia="zh-CN"/>
        </w:rPr>
        <w:t>附件2：</w:t>
      </w:r>
    </w:p>
    <w:p>
      <w:pPr>
        <w:widowControl/>
        <w:spacing w:before="240" w:after="240" w:line="360" w:lineRule="auto"/>
        <w:ind w:firstLine="600"/>
        <w:jc w:val="center"/>
        <w:rPr>
          <w:rFonts w:ascii="Times New Roman" w:hAnsi="Times New Roman" w:eastAsia="Times New Roman" w:cs="Times New Roman"/>
          <w:kern w:val="0"/>
          <w:sz w:val="24"/>
          <w:lang w:eastAsia="en-US"/>
        </w:rPr>
      </w:pPr>
      <w:r>
        <w:rPr>
          <w:rFonts w:ascii="宋体" w:hAnsi="宋体" w:eastAsia="宋体" w:cs="宋体"/>
          <w:b/>
          <w:bCs/>
          <w:kern w:val="0"/>
          <w:sz w:val="30"/>
          <w:szCs w:val="30"/>
          <w:lang w:eastAsia="en-US"/>
        </w:rPr>
        <w:t>配备</w:t>
      </w:r>
      <w:r>
        <w:rPr>
          <w:rFonts w:hint="eastAsia" w:ascii="宋体" w:hAnsi="宋体" w:eastAsia="宋体" w:cs="宋体"/>
          <w:b/>
          <w:bCs/>
          <w:kern w:val="0"/>
          <w:sz w:val="30"/>
          <w:szCs w:val="30"/>
          <w:lang w:val="en-US" w:eastAsia="zh-CN"/>
        </w:rPr>
        <w:t>人员</w:t>
      </w:r>
      <w:r>
        <w:rPr>
          <w:rFonts w:ascii="宋体" w:hAnsi="宋体" w:eastAsia="宋体" w:cs="宋体"/>
          <w:b/>
          <w:bCs/>
          <w:kern w:val="0"/>
          <w:sz w:val="30"/>
          <w:szCs w:val="30"/>
          <w:lang w:eastAsia="en-US"/>
        </w:rPr>
        <w:t>情况表（</w:t>
      </w:r>
      <w:r>
        <w:rPr>
          <w:rFonts w:hint="eastAsia" w:ascii="宋体" w:hAnsi="宋体" w:eastAsia="宋体" w:cs="宋体"/>
          <w:b/>
          <w:bCs/>
          <w:kern w:val="0"/>
          <w:sz w:val="30"/>
          <w:szCs w:val="30"/>
          <w:lang w:val="en-US" w:eastAsia="zh-CN"/>
        </w:rPr>
        <w:t>需</w:t>
      </w:r>
      <w:r>
        <w:rPr>
          <w:rFonts w:ascii="宋体" w:hAnsi="宋体" w:eastAsia="宋体" w:cs="宋体"/>
          <w:b/>
          <w:bCs/>
          <w:kern w:val="0"/>
          <w:sz w:val="30"/>
          <w:szCs w:val="30"/>
          <w:lang w:eastAsia="en-US"/>
        </w:rPr>
        <w:t>与</w:t>
      </w:r>
      <w:r>
        <w:rPr>
          <w:rFonts w:hint="eastAsia" w:ascii="宋体" w:hAnsi="宋体" w:cs="宋体"/>
          <w:b/>
          <w:bCs/>
          <w:kern w:val="0"/>
          <w:sz w:val="30"/>
          <w:szCs w:val="30"/>
          <w:lang w:val="en-US" w:eastAsia="zh-CN"/>
        </w:rPr>
        <w:t>报名文件</w:t>
      </w:r>
      <w:r>
        <w:rPr>
          <w:rFonts w:ascii="宋体" w:hAnsi="宋体" w:eastAsia="宋体" w:cs="宋体"/>
          <w:b/>
          <w:bCs/>
          <w:kern w:val="0"/>
          <w:sz w:val="30"/>
          <w:szCs w:val="30"/>
          <w:lang w:eastAsia="en-US"/>
        </w:rPr>
        <w:t>一致）</w:t>
      </w:r>
    </w:p>
    <w:tbl>
      <w:tblPr>
        <w:tblStyle w:val="8"/>
        <w:tblW w:w="9139" w:type="dxa"/>
        <w:tblCellSpacing w:w="0" w:type="dxa"/>
        <w:tblInd w:w="0" w:type="dxa"/>
        <w:tblLayout w:type="fixed"/>
        <w:tblCellMar>
          <w:top w:w="0" w:type="dxa"/>
          <w:left w:w="0" w:type="dxa"/>
          <w:bottom w:w="0" w:type="dxa"/>
          <w:right w:w="0" w:type="dxa"/>
        </w:tblCellMar>
      </w:tblPr>
      <w:tblGrid>
        <w:gridCol w:w="1322"/>
        <w:gridCol w:w="1268"/>
        <w:gridCol w:w="1596"/>
        <w:gridCol w:w="1268"/>
        <w:gridCol w:w="1760"/>
        <w:gridCol w:w="1925"/>
      </w:tblGrid>
      <w:tr>
        <w:tblPrEx>
          <w:tblLayout w:type="fixed"/>
          <w:tblCellMar>
            <w:top w:w="0" w:type="dxa"/>
            <w:left w:w="0" w:type="dxa"/>
            <w:bottom w:w="0" w:type="dxa"/>
            <w:right w:w="0" w:type="dxa"/>
          </w:tblCellMar>
        </w:tblPrEx>
        <w:trPr>
          <w:trHeight w:val="510" w:hRule="atLeast"/>
          <w:tblCellSpacing w:w="0" w:type="dxa"/>
        </w:trPr>
        <w:tc>
          <w:tcPr>
            <w:tcW w:w="1322" w:type="dxa"/>
            <w:vMerge w:val="restart"/>
            <w:tcBorders>
              <w:top w:val="single" w:color="000000" w:sz="6" w:space="0"/>
              <w:left w:val="single" w:color="auto" w:sz="6" w:space="0"/>
              <w:bottom w:val="nil"/>
              <w:right w:val="single" w:color="000000" w:sz="6" w:space="0"/>
            </w:tcBorders>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姓名</w:t>
            </w:r>
          </w:p>
        </w:tc>
        <w:tc>
          <w:tcPr>
            <w:tcW w:w="1268" w:type="dxa"/>
            <w:vMerge w:val="restart"/>
            <w:tcBorders>
              <w:top w:val="single" w:color="000000" w:sz="6" w:space="0"/>
              <w:left w:val="single" w:color="auto" w:sz="6" w:space="0"/>
              <w:bottom w:val="nil"/>
              <w:right w:val="single" w:color="000000" w:sz="6" w:space="0"/>
            </w:tcBorders>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职称</w:t>
            </w:r>
          </w:p>
        </w:tc>
        <w:tc>
          <w:tcPr>
            <w:tcW w:w="6549" w:type="dxa"/>
            <w:gridSpan w:val="4"/>
            <w:tcBorders>
              <w:top w:val="single" w:color="000000"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上岗资格证明</w:t>
            </w:r>
          </w:p>
        </w:tc>
      </w:tr>
      <w:tr>
        <w:tblPrEx>
          <w:tblLayout w:type="fixed"/>
          <w:tblCellMar>
            <w:top w:w="0" w:type="dxa"/>
            <w:left w:w="0" w:type="dxa"/>
            <w:bottom w:w="0" w:type="dxa"/>
            <w:right w:w="0" w:type="dxa"/>
          </w:tblCellMar>
        </w:tblPrEx>
        <w:trPr>
          <w:trHeight w:val="510" w:hRule="atLeast"/>
          <w:tblCellSpacing w:w="0" w:type="dxa"/>
        </w:trPr>
        <w:tc>
          <w:tcPr>
            <w:tcW w:w="1322" w:type="dxa"/>
            <w:vMerge w:val="continue"/>
            <w:tcBorders>
              <w:left w:val="single" w:color="auto" w:sz="6" w:space="0"/>
              <w:bottom w:val="single" w:color="000000" w:sz="6" w:space="0"/>
              <w:right w:val="single" w:color="000000" w:sz="6" w:space="0"/>
            </w:tcBorders>
            <w:vAlign w:val="center"/>
          </w:tcPr>
          <w:p>
            <w:pPr>
              <w:widowControl/>
              <w:jc w:val="left"/>
              <w:rPr>
                <w:rFonts w:ascii="宋体" w:hAnsi="宋体" w:eastAsia="宋体" w:cs="宋体"/>
                <w:b w:val="0"/>
                <w:bCs w:val="0"/>
                <w:i w:val="0"/>
                <w:iCs w:val="0"/>
                <w:smallCaps w:val="0"/>
                <w:color w:val="000000"/>
                <w:kern w:val="0"/>
                <w:sz w:val="24"/>
                <w:lang w:eastAsia="en-US"/>
              </w:rPr>
            </w:pPr>
          </w:p>
        </w:tc>
        <w:tc>
          <w:tcPr>
            <w:tcW w:w="1268" w:type="dxa"/>
            <w:vMerge w:val="continue"/>
            <w:tcBorders>
              <w:left w:val="single" w:color="auto" w:sz="6" w:space="0"/>
              <w:bottom w:val="single" w:color="000000" w:sz="6" w:space="0"/>
              <w:right w:val="single" w:color="000000" w:sz="6" w:space="0"/>
            </w:tcBorders>
            <w:vAlign w:val="center"/>
          </w:tcPr>
          <w:p>
            <w:pPr>
              <w:widowControl/>
              <w:jc w:val="left"/>
              <w:rPr>
                <w:rFonts w:ascii="宋体" w:hAnsi="宋体" w:eastAsia="宋体" w:cs="宋体"/>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证书名称</w:t>
            </w: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级别</w:t>
            </w: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证号</w:t>
            </w: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专业</w:t>
            </w: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bl>
    <w:p>
      <w:pPr>
        <w:suppressAutoHyphens/>
        <w:spacing w:after="0" w:line="240" w:lineRule="auto"/>
        <w:ind w:firstLine="2730" w:firstLineChars="1300"/>
        <w:jc w:val="center"/>
        <w:rPr>
          <w:rFonts w:ascii="宋体" w:hAnsi="宋体" w:eastAsia="宋体" w:cs="宋体"/>
        </w:rPr>
      </w:pPr>
    </w:p>
    <w:p>
      <w:pPr>
        <w:suppressAutoHyphens/>
        <w:spacing w:after="0" w:line="240" w:lineRule="auto"/>
        <w:ind w:firstLine="3640" w:firstLineChars="1300"/>
        <w:jc w:val="both"/>
        <w:rPr>
          <w:rFonts w:hint="eastAsia" w:ascii="宋体" w:hAnsi="宋体" w:eastAsia="宋体" w:cs="宋体"/>
          <w:kern w:val="1"/>
          <w:sz w:val="28"/>
          <w:szCs w:val="28"/>
          <w:lang w:eastAsia="ar-SA"/>
        </w:rPr>
      </w:pPr>
      <w:r>
        <w:rPr>
          <w:rFonts w:hint="eastAsia" w:ascii="宋体" w:hAnsi="宋体" w:eastAsia="宋体" w:cs="宋体"/>
          <w:kern w:val="1"/>
          <w:sz w:val="28"/>
          <w:szCs w:val="28"/>
          <w:lang w:eastAsia="ar-SA"/>
        </w:rPr>
        <w:t>承诺单位（公司）盖章：</w:t>
      </w:r>
    </w:p>
    <w:p>
      <w:pPr>
        <w:suppressAutoHyphens/>
        <w:spacing w:after="0" w:line="240" w:lineRule="auto"/>
        <w:ind w:firstLine="3640" w:firstLineChars="1300"/>
        <w:jc w:val="center"/>
        <w:rPr>
          <w:rFonts w:hint="eastAsia" w:ascii="宋体" w:hAnsi="宋体" w:eastAsia="宋体" w:cs="宋体"/>
          <w:kern w:val="1"/>
          <w:sz w:val="28"/>
          <w:szCs w:val="28"/>
          <w:lang w:val="en-US" w:eastAsia="zh-CN"/>
        </w:rPr>
      </w:pPr>
      <w:r>
        <w:rPr>
          <w:rFonts w:hint="eastAsia" w:ascii="宋体" w:hAnsi="宋体" w:eastAsia="宋体" w:cs="宋体"/>
          <w:kern w:val="1"/>
          <w:sz w:val="28"/>
          <w:szCs w:val="28"/>
          <w:lang w:val="en-US" w:eastAsia="zh-CN"/>
        </w:rPr>
        <w:t xml:space="preserve"> 日期：    年  月  日</w:t>
      </w:r>
    </w:p>
    <w:p>
      <w:pPr>
        <w:suppressAutoHyphens/>
        <w:spacing w:after="0" w:line="240" w:lineRule="auto"/>
        <w:ind w:firstLine="2730" w:firstLineChars="1300"/>
        <w:jc w:val="center"/>
        <w:rPr>
          <w:rFonts w:ascii="宋体" w:hAnsi="宋体" w:eastAsia="宋体" w:cs="宋体"/>
        </w:rPr>
      </w:pPr>
    </w:p>
    <w:p>
      <w:pPr>
        <w:suppressAutoHyphens/>
        <w:spacing w:after="0" w:line="240" w:lineRule="auto"/>
        <w:ind w:firstLine="2730" w:firstLineChars="1300"/>
        <w:jc w:val="center"/>
        <w:rPr>
          <w:rFonts w:ascii="宋体" w:hAnsi="宋体" w:eastAsia="宋体" w:cs="宋体"/>
        </w:rPr>
      </w:pPr>
    </w:p>
    <w:p>
      <w:pPr>
        <w:suppressAutoHyphens/>
        <w:spacing w:after="0" w:line="240" w:lineRule="auto"/>
        <w:ind w:firstLine="2730" w:firstLineChars="1300"/>
        <w:jc w:val="center"/>
        <w:rPr>
          <w:rFonts w:ascii="宋体" w:hAnsi="宋体" w:eastAsia="宋体" w:cs="宋体"/>
        </w:rPr>
      </w:pPr>
    </w:p>
    <w:p>
      <w:pPr>
        <w:suppressAutoHyphens/>
        <w:spacing w:after="0" w:line="240" w:lineRule="auto"/>
        <w:ind w:firstLine="2730" w:firstLineChars="1300"/>
        <w:jc w:val="center"/>
        <w:rPr>
          <w:rFonts w:ascii="宋体" w:hAnsi="宋体" w:eastAsia="宋体" w:cs="宋体"/>
        </w:rPr>
      </w:pPr>
    </w:p>
    <w:p>
      <w:pPr>
        <w:rPr>
          <w:rFonts w:hint="default"/>
          <w:lang w:val="en-US" w:eastAsia="zh-CN"/>
        </w:rPr>
        <w:sectPr>
          <w:pgSz w:w="11906" w:h="16838"/>
          <w:pgMar w:top="1440" w:right="1800" w:bottom="1440" w:left="1800" w:header="851" w:footer="992" w:gutter="0"/>
          <w:cols w:space="425" w:num="1"/>
          <w:docGrid w:type="lines" w:linePitch="312" w:charSpace="0"/>
        </w:sectPr>
      </w:pPr>
    </w:p>
    <w:p>
      <w:pPr>
        <w:rPr>
          <w:rFonts w:hint="eastAsia" w:ascii="方正小标宋简体" w:hAnsi="方正小标宋简体" w:eastAsia="方正小标宋简体" w:cs="方正小标宋简体"/>
          <w:sz w:val="28"/>
          <w:szCs w:val="28"/>
          <w:lang w:val="en-US" w:eastAsia="zh-CN"/>
        </w:rPr>
      </w:pPr>
      <w:r>
        <w:rPr>
          <w:rFonts w:hint="eastAsia" w:ascii="方正小标宋简体" w:hAnsi="方正小标宋简体" w:eastAsia="方正小标宋简体" w:cs="方正小标宋简体"/>
          <w:sz w:val="28"/>
          <w:szCs w:val="28"/>
          <w:lang w:val="en-US" w:eastAsia="zh-CN"/>
        </w:rPr>
        <w:t>附件3：</w:t>
      </w:r>
    </w:p>
    <w:p>
      <w:pPr>
        <w:widowControl w:val="0"/>
        <w:suppressAutoHyphens/>
        <w:ind w:firstLine="560" w:firstLineChars="200"/>
        <w:jc w:val="center"/>
        <w:rPr>
          <w:rFonts w:hint="eastAsia" w:ascii="方正小标宋简体" w:hAnsi="方正小标宋简体" w:eastAsia="方正小标宋简体" w:cs="方正小标宋简体"/>
          <w:kern w:val="1"/>
          <w:sz w:val="28"/>
          <w:szCs w:val="28"/>
          <w:lang w:val="en-US" w:eastAsia="zh-CN" w:bidi="ar-SA"/>
        </w:rPr>
      </w:pPr>
      <w:r>
        <w:rPr>
          <w:rFonts w:hint="eastAsia" w:ascii="方正小标宋简体" w:hAnsi="方正小标宋简体" w:eastAsia="方正小标宋简体" w:cs="方正小标宋简体"/>
          <w:kern w:val="1"/>
          <w:sz w:val="28"/>
          <w:szCs w:val="28"/>
          <w:lang w:val="en-US" w:eastAsia="zh-CN" w:bidi="ar-SA"/>
        </w:rPr>
        <w:t>工期承诺</w:t>
      </w:r>
    </w:p>
    <w:p>
      <w:pPr>
        <w:keepNext w:val="0"/>
        <w:keepLines w:val="0"/>
        <w:pageBreakBefore w:val="0"/>
        <w:widowControl w:val="0"/>
        <w:kinsoku/>
        <w:wordWrap/>
        <w:overflowPunct/>
        <w:topLinePunct w:val="0"/>
        <w:autoSpaceDE/>
        <w:autoSpaceDN/>
        <w:bidi w:val="0"/>
        <w:adjustRightInd/>
        <w:snapToGrid/>
        <w:spacing w:after="0" w:line="480" w:lineRule="exact"/>
        <w:textAlignment w:val="auto"/>
        <w:rPr>
          <w:rFonts w:ascii="宋体" w:hAnsi="宋体" w:eastAsia="宋体" w:cs="宋体"/>
          <w:sz w:val="28"/>
          <w:szCs w:val="28"/>
        </w:rPr>
      </w:pPr>
      <w:r>
        <w:rPr>
          <w:rFonts w:hint="eastAsia" w:ascii="宋体" w:hAnsi="宋体" w:eastAsia="宋体" w:cs="宋体"/>
          <w:sz w:val="28"/>
          <w:szCs w:val="28"/>
        </w:rPr>
        <w:t>致南湾街道办：</w:t>
      </w:r>
    </w:p>
    <w:p>
      <w:pPr>
        <w:keepNext w:val="0"/>
        <w:keepLines w:val="0"/>
        <w:pageBreakBefore w:val="0"/>
        <w:widowControl w:val="0"/>
        <w:kinsoku/>
        <w:wordWrap/>
        <w:overflowPunct/>
        <w:topLinePunct w:val="0"/>
        <w:autoSpaceDE/>
        <w:autoSpaceDN/>
        <w:bidi w:val="0"/>
        <w:adjustRightInd/>
        <w:snapToGrid/>
        <w:spacing w:after="0" w:line="48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我司承诺如下：</w:t>
      </w:r>
    </w:p>
    <w:p>
      <w:pPr>
        <w:widowControl w:val="0"/>
        <w:suppressAutoHyphens/>
        <w:ind w:firstLine="560" w:firstLineChars="200"/>
        <w:jc w:val="both"/>
        <w:rPr>
          <w:rFonts w:hint="default" w:ascii="宋体" w:hAnsi="宋体" w:eastAsia="宋体" w:cs="宋体"/>
          <w:kern w:val="1"/>
          <w:sz w:val="28"/>
          <w:szCs w:val="28"/>
          <w:lang w:val="en-US" w:eastAsia="zh-CN" w:bidi="ar-SA"/>
        </w:rPr>
      </w:pPr>
      <w:r>
        <w:rPr>
          <w:rFonts w:hint="eastAsia" w:ascii="宋体" w:hAnsi="宋体" w:eastAsia="宋体" w:cs="宋体"/>
          <w:kern w:val="1"/>
          <w:sz w:val="28"/>
          <w:szCs w:val="28"/>
          <w:lang w:val="en-US" w:eastAsia="zh-CN" w:bidi="ar-SA"/>
        </w:rPr>
        <w:t>（有工期承诺内容即可，不作具体要求）</w:t>
      </w:r>
    </w:p>
    <w:p>
      <w:pPr>
        <w:rPr>
          <w:rFonts w:hint="default" w:ascii="Times New Roman" w:hAnsi="Times New Roman" w:cs="Times New Roman"/>
          <w:lang w:val="en-US" w:eastAsia="zh-CN"/>
        </w:rPr>
      </w:pPr>
    </w:p>
    <w:p>
      <w:pPr>
        <w:widowControl w:val="0"/>
        <w:suppressAutoHyphens/>
        <w:ind w:firstLine="420" w:firstLineChars="200"/>
        <w:jc w:val="both"/>
        <w:rPr>
          <w:rFonts w:hint="default" w:ascii="Times New Roman" w:hAnsi="Times New Roman" w:eastAsia="宋体" w:cs="Times New Roman"/>
          <w:kern w:val="1"/>
          <w:sz w:val="21"/>
          <w:szCs w:val="24"/>
          <w:lang w:val="en-US" w:eastAsia="zh-CN" w:bidi="ar-SA"/>
        </w:rPr>
      </w:pPr>
    </w:p>
    <w:p>
      <w:pPr>
        <w:rPr>
          <w:rFonts w:hint="default" w:ascii="Times New Roman" w:hAnsi="Times New Roman" w:cs="Times New Roman"/>
          <w:lang w:val="en-US" w:eastAsia="zh-CN"/>
        </w:rPr>
      </w:pPr>
    </w:p>
    <w:p>
      <w:pPr>
        <w:widowControl w:val="0"/>
        <w:suppressAutoHyphens/>
        <w:ind w:firstLine="420" w:firstLineChars="200"/>
        <w:jc w:val="both"/>
        <w:rPr>
          <w:rFonts w:hint="default" w:ascii="Times New Roman" w:hAnsi="Times New Roman" w:eastAsia="宋体" w:cs="Times New Roman"/>
          <w:kern w:val="1"/>
          <w:sz w:val="21"/>
          <w:szCs w:val="24"/>
          <w:lang w:val="en-US" w:eastAsia="zh-CN" w:bidi="ar-SA"/>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suppressAutoHyphens/>
        <w:spacing w:after="0" w:line="240" w:lineRule="auto"/>
        <w:ind w:firstLine="3640" w:firstLineChars="1300"/>
        <w:jc w:val="both"/>
        <w:rPr>
          <w:rFonts w:hint="eastAsia" w:ascii="宋体" w:hAnsi="宋体" w:eastAsia="宋体" w:cs="宋体"/>
          <w:kern w:val="1"/>
          <w:sz w:val="28"/>
          <w:szCs w:val="28"/>
          <w:lang w:eastAsia="ar-SA"/>
        </w:rPr>
      </w:pPr>
      <w:r>
        <w:rPr>
          <w:rFonts w:hint="eastAsia" w:ascii="宋体" w:hAnsi="宋体" w:eastAsia="宋体" w:cs="宋体"/>
          <w:kern w:val="1"/>
          <w:sz w:val="28"/>
          <w:szCs w:val="28"/>
          <w:lang w:eastAsia="ar-SA"/>
        </w:rPr>
        <w:t>承诺单位（公司）盖章：</w:t>
      </w:r>
    </w:p>
    <w:p>
      <w:pPr>
        <w:suppressAutoHyphens/>
        <w:spacing w:after="0" w:line="240" w:lineRule="auto"/>
        <w:ind w:firstLine="3640" w:firstLineChars="1300"/>
        <w:jc w:val="center"/>
        <w:rPr>
          <w:rFonts w:hint="eastAsia" w:ascii="宋体" w:hAnsi="宋体" w:eastAsia="宋体" w:cs="宋体"/>
          <w:kern w:val="1"/>
          <w:sz w:val="28"/>
          <w:szCs w:val="28"/>
          <w:lang w:val="en-US" w:eastAsia="zh-CN"/>
        </w:rPr>
      </w:pPr>
      <w:r>
        <w:rPr>
          <w:rFonts w:hint="eastAsia" w:ascii="宋体" w:hAnsi="宋体" w:eastAsia="宋体" w:cs="宋体"/>
          <w:kern w:val="1"/>
          <w:sz w:val="28"/>
          <w:szCs w:val="28"/>
          <w:lang w:val="en-US" w:eastAsia="zh-CN"/>
        </w:rPr>
        <w:t xml:space="preserve"> 日期：    年  月  日</w:t>
      </w:r>
    </w:p>
    <w:p>
      <w:pPr>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after="0" w:line="440" w:lineRule="exact"/>
        <w:ind w:firstLine="3640" w:firstLineChars="1300"/>
        <w:jc w:val="center"/>
        <w:textAlignment w:val="auto"/>
        <w:rPr>
          <w:rFonts w:hint="default" w:ascii="宋体" w:hAnsi="宋体" w:eastAsia="宋体" w:cs="宋体"/>
          <w:sz w:val="28"/>
          <w:szCs w:val="28"/>
          <w:lang w:val="en-US" w:eastAsia="zh-CN"/>
        </w:rPr>
      </w:pPr>
    </w:p>
    <w:p>
      <w:pPr>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28"/>
          <w:szCs w:val="28"/>
          <w:lang w:val="en-US" w:eastAsia="zh-CN"/>
        </w:rPr>
        <w:t>附件4：</w:t>
      </w: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十个网站查询链接</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jc w:val="both"/>
        <w:textAlignment w:val="auto"/>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国家企业信用信息公示系统</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https://shiming.gsxt.gov.cn/socialuser-use-rllogin.html</w:t>
      </w:r>
    </w:p>
    <w:p>
      <w:pPr>
        <w:pStyle w:val="3"/>
        <w:keepNext w:val="0"/>
        <w:keepLines w:val="0"/>
        <w:pageBreakBefore w:val="0"/>
        <w:widowControl w:val="0"/>
        <w:numPr>
          <w:ilvl w:val="0"/>
          <w:numId w:val="1"/>
        </w:numPr>
        <w:kinsoku/>
        <w:wordWrap/>
        <w:overflowPunct/>
        <w:topLinePunct w:val="0"/>
        <w:autoSpaceDE/>
        <w:autoSpaceDN/>
        <w:bidi w:val="0"/>
        <w:adjustRightInd/>
        <w:snapToGrid/>
        <w:spacing w:beforeLines="0" w:afterLines="0" w:line="560" w:lineRule="exact"/>
        <w:ind w:left="0" w:leftChars="0" w:firstLine="0" w:firstLineChars="0"/>
        <w:jc w:val="left"/>
        <w:textAlignment w:val="auto"/>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信用中国</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Chars="0"/>
        <w:jc w:val="left"/>
        <w:textAlignment w:val="auto"/>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https://www.creditchina.gov.cn/</w:t>
      </w:r>
    </w:p>
    <w:p>
      <w:pPr>
        <w:pStyle w:val="3"/>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firstLine="0" w:firstLineChars="0"/>
        <w:jc w:val="left"/>
        <w:textAlignment w:val="auto"/>
        <w:rPr>
          <w:rFonts w:hint="eastAsia" w:ascii="黑体" w:hAnsi="黑体" w:eastAsia="黑体" w:cs="黑体"/>
          <w:sz w:val="32"/>
          <w:szCs w:val="32"/>
          <w:highlight w:val="none"/>
          <w:u w:val="none"/>
          <w:lang w:eastAsia="zh-CN"/>
        </w:rPr>
      </w:pPr>
      <w:r>
        <w:rPr>
          <w:rFonts w:hint="eastAsia" w:ascii="黑体" w:hAnsi="黑体" w:eastAsia="黑体" w:cs="黑体"/>
          <w:color w:val="auto"/>
          <w:kern w:val="2"/>
          <w:sz w:val="32"/>
          <w:szCs w:val="32"/>
          <w:highlight w:val="none"/>
          <w:u w:val="none"/>
          <w:shd w:val="clear" w:color="auto" w:fill="auto"/>
          <w:lang w:val="en-US" w:eastAsia="zh-CN" w:bidi="ar-SA"/>
        </w:rPr>
        <w:t>三、中国政府采购网-</w:t>
      </w:r>
      <w:bookmarkStart w:id="1" w:name="OLE_LINK25"/>
      <w:r>
        <w:rPr>
          <w:rFonts w:hint="eastAsia" w:ascii="黑体" w:hAnsi="黑体" w:eastAsia="黑体" w:cs="黑体"/>
          <w:color w:val="auto"/>
          <w:kern w:val="2"/>
          <w:sz w:val="32"/>
          <w:szCs w:val="32"/>
          <w:highlight w:val="none"/>
          <w:u w:val="none"/>
          <w:shd w:val="clear" w:color="auto" w:fill="auto"/>
          <w:lang w:val="en-US" w:eastAsia="zh-CN" w:bidi="ar-SA"/>
        </w:rPr>
        <w:t>政府采购严重违法实行行为记录名单</w:t>
      </w:r>
      <w:bookmarkEnd w:id="1"/>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fldChar w:fldCharType="begin"/>
      </w:r>
      <w:r>
        <w:rPr>
          <w:rFonts w:hint="eastAsia" w:ascii="黑体" w:hAnsi="黑体" w:eastAsia="黑体" w:cs="黑体"/>
          <w:color w:val="auto"/>
          <w:kern w:val="2"/>
          <w:sz w:val="32"/>
          <w:szCs w:val="32"/>
          <w:highlight w:val="none"/>
          <w:u w:val="none"/>
          <w:shd w:val="clear" w:color="auto" w:fill="auto"/>
          <w:lang w:val="en-US" w:eastAsia="zh-CN" w:bidi="ar-SA"/>
        </w:rPr>
        <w:instrText xml:space="preserve"> HYPERLINK "https://www.ccgp.gov.cn/search/cr/" </w:instrText>
      </w:r>
      <w:r>
        <w:rPr>
          <w:rFonts w:hint="eastAsia" w:ascii="黑体" w:hAnsi="黑体" w:eastAsia="黑体" w:cs="黑体"/>
          <w:color w:val="auto"/>
          <w:kern w:val="2"/>
          <w:sz w:val="32"/>
          <w:szCs w:val="32"/>
          <w:highlight w:val="none"/>
          <w:u w:val="none"/>
          <w:shd w:val="clear" w:color="auto" w:fill="auto"/>
          <w:lang w:val="en-US" w:eastAsia="zh-CN" w:bidi="ar-SA"/>
        </w:rPr>
        <w:fldChar w:fldCharType="separate"/>
      </w:r>
      <w:r>
        <w:rPr>
          <w:rFonts w:hint="eastAsia" w:ascii="黑体" w:hAnsi="黑体" w:eastAsia="黑体" w:cs="黑体"/>
          <w:color w:val="auto"/>
          <w:kern w:val="2"/>
          <w:sz w:val="32"/>
          <w:szCs w:val="32"/>
          <w:highlight w:val="none"/>
          <w:u w:val="none"/>
          <w:shd w:val="clear" w:color="auto" w:fill="auto"/>
          <w:lang w:val="en-US" w:eastAsia="zh-CN" w:bidi="ar-SA"/>
        </w:rPr>
        <w:t>https://www.ccgp.gov.cn/search/cr/</w:t>
      </w:r>
      <w:r>
        <w:rPr>
          <w:rFonts w:hint="eastAsia" w:ascii="黑体" w:hAnsi="黑体" w:eastAsia="黑体" w:cs="黑体"/>
          <w:color w:val="auto"/>
          <w:kern w:val="2"/>
          <w:sz w:val="32"/>
          <w:szCs w:val="32"/>
          <w:highlight w:val="none"/>
          <w:u w:val="none"/>
          <w:shd w:val="clear" w:color="auto" w:fill="auto"/>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四、深圳市政府采购监管网采购监管</w:t>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http://zfcg.sz.gov.cn/cgjg/cxda/index.html</w:t>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五、深圳市住房和建设局-工程建设服务-信用信息双公开、</w:t>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红色警示</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color w:val="auto"/>
          <w:kern w:val="2"/>
          <w:sz w:val="32"/>
          <w:szCs w:val="32"/>
          <w:highlight w:val="none"/>
          <w:u w:val="none"/>
          <w:shd w:val="clear" w:color="auto" w:fill="auto"/>
          <w:lang w:val="en-US" w:eastAsia="zh-CN" w:bidi="ar-SA"/>
        </w:rPr>
      </w:pPr>
      <w:bookmarkStart w:id="2" w:name="OLE_LINK51"/>
      <w:r>
        <w:rPr>
          <w:rFonts w:hint="eastAsia" w:ascii="黑体" w:hAnsi="黑体" w:eastAsia="黑体" w:cs="黑体"/>
          <w:color w:val="auto"/>
          <w:kern w:val="2"/>
          <w:sz w:val="32"/>
          <w:szCs w:val="32"/>
          <w:highlight w:val="none"/>
          <w:u w:val="none"/>
          <w:shd w:val="clear" w:color="auto" w:fill="auto"/>
          <w:lang w:val="en-US" w:eastAsia="zh-CN" w:bidi="ar-SA"/>
        </w:rPr>
        <w:t>http://zjj.sz.gov.cn/ztfw/gcjs/?from=index</w:t>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六</w:t>
      </w:r>
      <w:bookmarkEnd w:id="2"/>
      <w:r>
        <w:rPr>
          <w:rFonts w:hint="eastAsia" w:ascii="黑体" w:hAnsi="黑体" w:eastAsia="黑体" w:cs="黑体"/>
          <w:color w:val="auto"/>
          <w:kern w:val="2"/>
          <w:sz w:val="32"/>
          <w:szCs w:val="32"/>
          <w:highlight w:val="none"/>
          <w:u w:val="none"/>
          <w:shd w:val="clear" w:color="auto" w:fill="auto"/>
          <w:lang w:val="en-US" w:eastAsia="zh-CN" w:bidi="ar-SA"/>
        </w:rPr>
        <w:t>、深圳市龙岗区住房和建设局-通知通告</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http://www.lg.gov.cn/bmzz/zjj/xxgk/qt/tzgg/index.html</w:t>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sz w:val="32"/>
          <w:szCs w:val="32"/>
          <w:highlight w:val="none"/>
          <w:u w:val="none"/>
        </w:rPr>
      </w:pPr>
      <w:r>
        <w:rPr>
          <w:rFonts w:hint="eastAsia" w:ascii="黑体" w:hAnsi="黑体" w:eastAsia="黑体" w:cs="黑体"/>
          <w:color w:val="auto"/>
          <w:kern w:val="2"/>
          <w:sz w:val="32"/>
          <w:szCs w:val="32"/>
          <w:highlight w:val="none"/>
          <w:u w:val="none"/>
          <w:shd w:val="clear" w:color="auto" w:fill="auto"/>
          <w:lang w:val="en-US" w:eastAsia="zh-CN" w:bidi="ar-SA"/>
        </w:rPr>
        <w:t>七、企查查商业查询平台</w:t>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rPr>
          <w:rFonts w:hint="default"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https://www.qcc.com/</w:t>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八、中国执行信息公开网</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http://zxgk.court.gov.cn/zhzxgk/</w:t>
      </w:r>
    </w:p>
    <w:p>
      <w:pPr>
        <w:keepNext w:val="0"/>
        <w:keepLines w:val="0"/>
        <w:pageBreakBefore w:val="0"/>
        <w:widowControl w:val="0"/>
        <w:numPr>
          <w:ilvl w:val="0"/>
          <w:numId w:val="2"/>
        </w:numPr>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龙岗诚信网</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https://credit.lg.gov.cn/XYGS/index</w:t>
      </w:r>
    </w:p>
    <w:p>
      <w:pPr>
        <w:keepNext w:val="0"/>
        <w:keepLines w:val="0"/>
        <w:pageBreakBefore w:val="0"/>
        <w:widowControl w:val="0"/>
        <w:numPr>
          <w:ilvl w:val="0"/>
          <w:numId w:val="2"/>
        </w:numPr>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default" w:ascii="黑体" w:hAnsi="黑体" w:eastAsia="黑体" w:cs="黑体"/>
          <w:color w:val="auto"/>
          <w:kern w:val="2"/>
          <w:sz w:val="32"/>
          <w:szCs w:val="32"/>
          <w:highlight w:val="none"/>
          <w:u w:val="none"/>
          <w:shd w:val="clear" w:color="auto" w:fill="auto"/>
          <w:lang w:val="en-US" w:eastAsia="zh-CN" w:bidi="ar-SA"/>
        </w:rPr>
      </w:pPr>
      <w:r>
        <w:rPr>
          <w:rFonts w:hint="eastAsia" w:ascii="黑体" w:hAnsi="黑体" w:eastAsia="黑体" w:cs="黑体"/>
          <w:color w:val="auto"/>
          <w:kern w:val="2"/>
          <w:sz w:val="32"/>
          <w:szCs w:val="32"/>
          <w:highlight w:val="none"/>
          <w:u w:val="none"/>
          <w:shd w:val="clear" w:color="auto" w:fill="auto"/>
          <w:lang w:val="en-US" w:eastAsia="zh-CN" w:bidi="ar-SA"/>
        </w:rPr>
        <w:t>中国裁判文书网</w:t>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default" w:ascii="黑体" w:hAnsi="黑体" w:eastAsia="黑体" w:cs="黑体"/>
          <w:color w:val="auto"/>
          <w:kern w:val="2"/>
          <w:sz w:val="32"/>
          <w:szCs w:val="32"/>
          <w:highlight w:val="none"/>
          <w:u w:val="none"/>
          <w:shd w:val="clear" w:color="auto" w:fill="auto"/>
          <w:lang w:val="en-US" w:eastAsia="zh-CN" w:bidi="ar-SA"/>
        </w:rPr>
      </w:pPr>
      <w:r>
        <w:rPr>
          <w:rFonts w:hint="default" w:ascii="黑体" w:hAnsi="黑体" w:eastAsia="黑体" w:cs="黑体"/>
          <w:color w:val="auto"/>
          <w:kern w:val="2"/>
          <w:sz w:val="32"/>
          <w:szCs w:val="32"/>
          <w:highlight w:val="none"/>
          <w:u w:val="none"/>
          <w:shd w:val="clear" w:color="auto" w:fill="auto"/>
          <w:lang w:val="en-US" w:eastAsia="zh-CN" w:bidi="ar-SA"/>
        </w:rPr>
        <w:t>https://wenshu.court.gov.cn/website/wenshu/181029CR4M5A62CH/index.html?</w:t>
      </w: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spacing w:before="217" w:line="597" w:lineRule="exact"/>
        <w:outlineLvl w:val="0"/>
        <w:rPr>
          <w:rFonts w:hint="eastAsia" w:ascii="方正小标宋简体" w:hAnsi="方正小标宋简体" w:eastAsia="方正小标宋简体" w:cs="方正小标宋简体"/>
          <w:sz w:val="28"/>
          <w:szCs w:val="28"/>
          <w:lang w:val="en-US" w:eastAsia="zh-CN"/>
        </w:rPr>
      </w:pPr>
    </w:p>
    <w:p>
      <w:pPr>
        <w:spacing w:before="217" w:line="597" w:lineRule="exact"/>
        <w:outlineLvl w:val="0"/>
        <w:rPr>
          <w:rFonts w:ascii="宋体" w:hAnsi="宋体" w:eastAsia="宋体" w:cs="宋体"/>
          <w:sz w:val="43"/>
          <w:szCs w:val="43"/>
        </w:rPr>
      </w:pPr>
      <w:r>
        <w:rPr>
          <w:rFonts w:hint="eastAsia" w:ascii="方正小标宋简体" w:hAnsi="方正小标宋简体" w:eastAsia="方正小标宋简体" w:cs="方正小标宋简体"/>
          <w:sz w:val="28"/>
          <w:szCs w:val="28"/>
          <w:lang w:val="en-US" w:eastAsia="zh-CN"/>
        </w:rPr>
        <w:t>附件5：</w:t>
      </w:r>
    </w:p>
    <w:p>
      <w:pPr>
        <w:spacing w:before="338" w:line="598" w:lineRule="exact"/>
        <w:jc w:val="center"/>
        <w:outlineLvl w:val="0"/>
        <w:rPr>
          <w:rFonts w:ascii="宋体" w:hAnsi="宋体" w:eastAsia="宋体" w:cs="宋体"/>
          <w:sz w:val="43"/>
          <w:szCs w:val="43"/>
        </w:rPr>
      </w:pPr>
      <w:r>
        <w:rPr>
          <w:rFonts w:ascii="宋体" w:hAnsi="宋体" w:eastAsia="宋体" w:cs="宋体"/>
          <w:b/>
          <w:bCs/>
          <w:spacing w:val="51"/>
          <w:position w:val="2"/>
          <w:sz w:val="43"/>
          <w:szCs w:val="43"/>
        </w:rPr>
        <w:t>深圳</w:t>
      </w:r>
      <w:r>
        <w:rPr>
          <w:rFonts w:ascii="宋体" w:hAnsi="宋体" w:eastAsia="宋体" w:cs="宋体"/>
          <w:spacing w:val="-99"/>
          <w:position w:val="2"/>
          <w:sz w:val="43"/>
          <w:szCs w:val="43"/>
        </w:rPr>
        <w:t xml:space="preserve"> </w:t>
      </w:r>
      <w:r>
        <w:rPr>
          <w:rFonts w:ascii="宋体" w:hAnsi="宋体" w:eastAsia="宋体" w:cs="宋体"/>
          <w:b/>
          <w:bCs/>
          <w:position w:val="2"/>
          <w:sz w:val="43"/>
          <w:szCs w:val="43"/>
        </w:rPr>
        <w:t>XXX</w:t>
      </w:r>
      <w:r>
        <w:rPr>
          <w:rFonts w:ascii="宋体" w:hAnsi="宋体" w:eastAsia="宋体" w:cs="宋体"/>
          <w:spacing w:val="-93"/>
          <w:position w:val="2"/>
          <w:sz w:val="43"/>
          <w:szCs w:val="43"/>
        </w:rPr>
        <w:t xml:space="preserve"> </w:t>
      </w:r>
      <w:r>
        <w:rPr>
          <w:rFonts w:ascii="宋体" w:hAnsi="宋体" w:eastAsia="宋体" w:cs="宋体"/>
          <w:b/>
          <w:bCs/>
          <w:spacing w:val="51"/>
          <w:position w:val="2"/>
          <w:sz w:val="43"/>
          <w:szCs w:val="43"/>
        </w:rPr>
        <w:t>有限公司</w:t>
      </w:r>
      <w:r>
        <w:rPr>
          <w:rFonts w:ascii="宋体" w:hAnsi="宋体" w:eastAsia="宋体" w:cs="宋体"/>
          <w:b/>
          <w:bCs/>
          <w:spacing w:val="5"/>
          <w:position w:val="2"/>
          <w:sz w:val="43"/>
          <w:szCs w:val="43"/>
        </w:rPr>
        <w:t>各平台查询结果</w:t>
      </w:r>
    </w:p>
    <w:p>
      <w:pPr>
        <w:spacing w:before="306" w:line="226" w:lineRule="auto"/>
        <w:ind w:left="31"/>
        <w:outlineLvl w:val="1"/>
        <w:rPr>
          <w:rFonts w:ascii="黑体" w:hAnsi="黑体" w:eastAsia="黑体" w:cs="黑体"/>
          <w:sz w:val="31"/>
          <w:szCs w:val="31"/>
        </w:rPr>
      </w:pPr>
      <w:r>
        <w:rPr>
          <w:rFonts w:ascii="黑体" w:hAnsi="黑体" w:eastAsia="黑体" w:cs="黑体"/>
          <w:spacing w:val="8"/>
          <w:sz w:val="31"/>
          <w:szCs w:val="31"/>
        </w:rPr>
        <w:t>一、国家企业信用信息公示系统</w:t>
      </w:r>
    </w:p>
    <w:p>
      <w:pPr>
        <w:spacing w:before="3" w:line="4807" w:lineRule="exact"/>
        <w:ind w:firstLine="14"/>
      </w:pPr>
      <w:r>
        <w:rPr>
          <w:position w:val="-96"/>
        </w:rPr>
        <w:drawing>
          <wp:inline distT="0" distB="0" distL="0" distR="0">
            <wp:extent cx="5269865" cy="3052445"/>
            <wp:effectExtent l="0" t="0" r="6985" b="14605"/>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4"/>
                    <a:stretch>
                      <a:fillRect/>
                    </a:stretch>
                  </pic:blipFill>
                  <pic:spPr>
                    <a:xfrm>
                      <a:off x="0" y="0"/>
                      <a:ext cx="5269991" cy="3052571"/>
                    </a:xfrm>
                    <a:prstGeom prst="rect">
                      <a:avLst/>
                    </a:prstGeom>
                  </pic:spPr>
                </pic:pic>
              </a:graphicData>
            </a:graphic>
          </wp:inline>
        </w:drawing>
      </w:r>
    </w:p>
    <w:p>
      <w:pPr>
        <w:spacing w:line="460" w:lineRule="auto"/>
        <w:rPr>
          <w:rFonts w:ascii="Arial"/>
          <w:sz w:val="21"/>
        </w:rPr>
      </w:pPr>
    </w:p>
    <w:p>
      <w:pPr>
        <w:spacing w:line="3681" w:lineRule="exact"/>
        <w:ind w:firstLine="14"/>
      </w:pPr>
      <w:r>
        <w:rPr>
          <w:position w:val="-73"/>
        </w:rPr>
        <w:drawing>
          <wp:inline distT="0" distB="0" distL="0" distR="0">
            <wp:extent cx="5269865" cy="2337435"/>
            <wp:effectExtent l="0" t="0" r="6985" b="5715"/>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
                    <a:stretch>
                      <a:fillRect/>
                    </a:stretch>
                  </pic:blipFill>
                  <pic:spPr>
                    <a:xfrm>
                      <a:off x="0" y="0"/>
                      <a:ext cx="5269991" cy="2337816"/>
                    </a:xfrm>
                    <a:prstGeom prst="rect">
                      <a:avLst/>
                    </a:prstGeom>
                  </pic:spPr>
                </pic:pic>
              </a:graphicData>
            </a:graphic>
          </wp:inline>
        </w:drawing>
      </w:r>
    </w:p>
    <w:p>
      <w:pPr>
        <w:spacing w:line="3681" w:lineRule="exact"/>
        <w:sectPr>
          <w:pgSz w:w="11906" w:h="16839"/>
          <w:pgMar w:top="1431" w:right="1785" w:bottom="0" w:left="1785" w:header="0" w:footer="0" w:gutter="0"/>
          <w:cols w:space="720" w:num="1"/>
        </w:sectPr>
      </w:pPr>
    </w:p>
    <w:p>
      <w:pPr>
        <w:spacing w:before="8" w:line="7565" w:lineRule="exact"/>
        <w:ind w:firstLine="14"/>
      </w:pPr>
      <w:r>
        <w:rPr>
          <w:position w:val="-151"/>
        </w:rPr>
        <w:drawing>
          <wp:inline distT="0" distB="0" distL="0" distR="0">
            <wp:extent cx="5273040" cy="4803140"/>
            <wp:effectExtent l="0" t="0" r="3810" b="1651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
                    <a:stretch>
                      <a:fillRect/>
                    </a:stretch>
                  </pic:blipFill>
                  <pic:spPr>
                    <a:xfrm>
                      <a:off x="0" y="0"/>
                      <a:ext cx="5273040" cy="4803648"/>
                    </a:xfrm>
                    <a:prstGeom prst="rect">
                      <a:avLst/>
                    </a:prstGeom>
                  </pic:spPr>
                </pic:pic>
              </a:graphicData>
            </a:graphic>
          </wp:inline>
        </w:drawing>
      </w:r>
    </w:p>
    <w:p>
      <w:pPr>
        <w:spacing w:before="240" w:line="228" w:lineRule="auto"/>
        <w:ind w:left="31"/>
        <w:outlineLvl w:val="1"/>
        <w:rPr>
          <w:rFonts w:ascii="黑体" w:hAnsi="黑体" w:eastAsia="黑体" w:cs="黑体"/>
          <w:sz w:val="31"/>
          <w:szCs w:val="31"/>
        </w:rPr>
      </w:pPr>
      <w:r>
        <w:rPr>
          <w:rFonts w:ascii="黑体" w:hAnsi="黑体" w:eastAsia="黑体" w:cs="黑体"/>
          <w:spacing w:val="7"/>
          <w:sz w:val="31"/>
          <w:szCs w:val="31"/>
        </w:rPr>
        <w:t>二、信用中国</w:t>
      </w:r>
    </w:p>
    <w:p>
      <w:pPr>
        <w:spacing w:before="177" w:line="218" w:lineRule="auto"/>
        <w:ind w:left="31"/>
        <w:rPr>
          <w:rFonts w:ascii="黑体" w:hAnsi="黑体" w:eastAsia="黑体" w:cs="黑体"/>
          <w:sz w:val="31"/>
          <w:szCs w:val="31"/>
        </w:rPr>
      </w:pPr>
      <w:r>
        <w:rPr>
          <w:rFonts w:ascii="黑体" w:hAnsi="黑体" w:eastAsia="黑体" w:cs="黑体"/>
          <w:color w:val="FF0000"/>
          <w:spacing w:val="8"/>
          <w:sz w:val="31"/>
          <w:szCs w:val="31"/>
        </w:rPr>
        <w:t>一整套，页面较多，请打齐</w:t>
      </w:r>
    </w:p>
    <w:p>
      <w:pPr>
        <w:spacing w:before="192" w:line="227" w:lineRule="auto"/>
        <w:ind w:left="32"/>
        <w:outlineLvl w:val="1"/>
        <w:rPr>
          <w:rFonts w:ascii="黑体" w:hAnsi="黑体" w:eastAsia="黑体" w:cs="黑体"/>
          <w:sz w:val="31"/>
          <w:szCs w:val="31"/>
        </w:rPr>
      </w:pPr>
      <w:r>
        <w:rPr>
          <w:rFonts w:ascii="黑体" w:hAnsi="黑体" w:eastAsia="黑体" w:cs="黑体"/>
          <w:spacing w:val="9"/>
          <w:sz w:val="31"/>
          <w:szCs w:val="31"/>
        </w:rPr>
        <w:t>三、中国政府采购网-政府采购严重违法实行行为记录名单</w:t>
      </w:r>
    </w:p>
    <w:p>
      <w:pPr>
        <w:spacing w:before="136" w:line="3461" w:lineRule="exact"/>
        <w:ind w:firstLine="14"/>
      </w:pPr>
      <w:r>
        <w:rPr>
          <w:position w:val="-69"/>
        </w:rPr>
        <w:drawing>
          <wp:inline distT="0" distB="0" distL="0" distR="0">
            <wp:extent cx="5271135" cy="2197100"/>
            <wp:effectExtent l="0" t="0" r="5715" b="1270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
                    <a:stretch>
                      <a:fillRect/>
                    </a:stretch>
                  </pic:blipFill>
                  <pic:spPr>
                    <a:xfrm>
                      <a:off x="0" y="0"/>
                      <a:ext cx="5271515" cy="2197607"/>
                    </a:xfrm>
                    <a:prstGeom prst="rect">
                      <a:avLst/>
                    </a:prstGeom>
                  </pic:spPr>
                </pic:pic>
              </a:graphicData>
            </a:graphic>
          </wp:inline>
        </w:drawing>
      </w:r>
    </w:p>
    <w:p>
      <w:pPr>
        <w:spacing w:before="327" w:line="228" w:lineRule="auto"/>
        <w:ind w:left="45"/>
        <w:outlineLvl w:val="1"/>
        <w:rPr>
          <w:rFonts w:ascii="黑体" w:hAnsi="黑体" w:eastAsia="黑体" w:cs="黑体"/>
          <w:sz w:val="31"/>
          <w:szCs w:val="31"/>
        </w:rPr>
      </w:pPr>
      <w:r>
        <w:rPr>
          <w:rFonts w:ascii="黑体" w:hAnsi="黑体" w:eastAsia="黑体" w:cs="黑体"/>
          <w:spacing w:val="7"/>
          <w:sz w:val="31"/>
          <w:szCs w:val="31"/>
        </w:rPr>
        <w:t>四、深圳市政府采购监管网采购监管</w:t>
      </w:r>
    </w:p>
    <w:p>
      <w:pPr>
        <w:spacing w:line="228" w:lineRule="auto"/>
        <w:rPr>
          <w:rFonts w:ascii="黑体" w:hAnsi="黑体" w:eastAsia="黑体" w:cs="黑体"/>
          <w:sz w:val="31"/>
          <w:szCs w:val="31"/>
        </w:rPr>
        <w:sectPr>
          <w:pgSz w:w="11906" w:h="16839"/>
          <w:pgMar w:top="1431" w:right="1785" w:bottom="0" w:left="1785" w:header="0" w:footer="0" w:gutter="0"/>
          <w:cols w:space="720" w:num="1"/>
        </w:sectPr>
      </w:pPr>
    </w:p>
    <w:p>
      <w:pPr>
        <w:spacing w:before="159" w:line="2806" w:lineRule="exact"/>
        <w:ind w:firstLine="14"/>
      </w:pPr>
      <w:r>
        <w:rPr>
          <w:position w:val="-56"/>
        </w:rPr>
        <w:drawing>
          <wp:inline distT="0" distB="0" distL="0" distR="0">
            <wp:extent cx="5265420" cy="1781175"/>
            <wp:effectExtent l="0" t="0" r="11430" b="952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8"/>
                    <a:stretch>
                      <a:fillRect/>
                    </a:stretch>
                  </pic:blipFill>
                  <pic:spPr>
                    <a:xfrm>
                      <a:off x="0" y="0"/>
                      <a:ext cx="5265420" cy="1781556"/>
                    </a:xfrm>
                    <a:prstGeom prst="rect">
                      <a:avLst/>
                    </a:prstGeom>
                  </pic:spPr>
                </pic:pic>
              </a:graphicData>
            </a:graphic>
          </wp:inline>
        </w:drawing>
      </w:r>
    </w:p>
    <w:p>
      <w:pPr>
        <w:spacing w:before="338" w:line="226" w:lineRule="auto"/>
        <w:ind w:left="35"/>
        <w:rPr>
          <w:rFonts w:ascii="黑体" w:hAnsi="黑体" w:eastAsia="黑体" w:cs="黑体"/>
          <w:sz w:val="31"/>
          <w:szCs w:val="31"/>
        </w:rPr>
      </w:pPr>
      <w:r>
        <w:rPr>
          <w:rFonts w:ascii="黑体" w:hAnsi="黑体" w:eastAsia="黑体" w:cs="黑体"/>
          <w:spacing w:val="8"/>
          <w:sz w:val="31"/>
          <w:szCs w:val="31"/>
        </w:rPr>
        <w:t>五、深圳市住房和建设局-工程建设服务-信用信息双公开、</w:t>
      </w:r>
    </w:p>
    <w:p>
      <w:pPr>
        <w:spacing w:before="180" w:line="227" w:lineRule="auto"/>
        <w:ind w:left="27"/>
        <w:rPr>
          <w:rFonts w:ascii="黑体" w:hAnsi="黑体" w:eastAsia="黑体" w:cs="黑体"/>
          <w:sz w:val="31"/>
          <w:szCs w:val="31"/>
        </w:rPr>
      </w:pPr>
      <w:r>
        <w:rPr>
          <w:rFonts w:ascii="黑体" w:hAnsi="黑体" w:eastAsia="黑体" w:cs="黑体"/>
          <w:spacing w:val="6"/>
          <w:sz w:val="31"/>
          <w:szCs w:val="31"/>
        </w:rPr>
        <w:t>红色警示</w:t>
      </w:r>
    </w:p>
    <w:p>
      <w:pPr>
        <w:spacing w:before="127" w:line="3787" w:lineRule="exact"/>
        <w:ind w:firstLine="14"/>
      </w:pPr>
      <w:r>
        <w:rPr>
          <w:position w:val="-75"/>
        </w:rPr>
        <w:drawing>
          <wp:inline distT="0" distB="0" distL="0" distR="0">
            <wp:extent cx="5273040" cy="2404745"/>
            <wp:effectExtent l="0" t="0" r="3810" b="14605"/>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
                    <a:stretch>
                      <a:fillRect/>
                    </a:stretch>
                  </pic:blipFill>
                  <pic:spPr>
                    <a:xfrm>
                      <a:off x="0" y="0"/>
                      <a:ext cx="5273040" cy="2404872"/>
                    </a:xfrm>
                    <a:prstGeom prst="rect">
                      <a:avLst/>
                    </a:prstGeom>
                  </pic:spPr>
                </pic:pic>
              </a:graphicData>
            </a:graphic>
          </wp:inline>
        </w:drawing>
      </w:r>
    </w:p>
    <w:p>
      <w:pPr>
        <w:spacing w:line="283" w:lineRule="auto"/>
        <w:rPr>
          <w:rFonts w:ascii="Arial"/>
          <w:sz w:val="21"/>
        </w:rPr>
      </w:pPr>
    </w:p>
    <w:p>
      <w:pPr>
        <w:spacing w:line="3152" w:lineRule="exact"/>
        <w:ind w:firstLine="14"/>
      </w:pPr>
      <w:r>
        <w:rPr>
          <w:position w:val="-63"/>
        </w:rPr>
        <w:drawing>
          <wp:inline distT="0" distB="0" distL="0" distR="0">
            <wp:extent cx="5271135" cy="2000885"/>
            <wp:effectExtent l="0" t="0" r="5715" b="18415"/>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
                    <a:stretch>
                      <a:fillRect/>
                    </a:stretch>
                  </pic:blipFill>
                  <pic:spPr>
                    <a:xfrm>
                      <a:off x="0" y="0"/>
                      <a:ext cx="5271515" cy="2001011"/>
                    </a:xfrm>
                    <a:prstGeom prst="rect">
                      <a:avLst/>
                    </a:prstGeom>
                  </pic:spPr>
                </pic:pic>
              </a:graphicData>
            </a:graphic>
          </wp:inline>
        </w:drawing>
      </w:r>
    </w:p>
    <w:p>
      <w:pPr>
        <w:spacing w:before="295" w:line="226" w:lineRule="auto"/>
        <w:ind w:left="36"/>
        <w:outlineLvl w:val="1"/>
        <w:rPr>
          <w:rFonts w:ascii="黑体" w:hAnsi="黑体" w:eastAsia="黑体" w:cs="黑体"/>
          <w:sz w:val="31"/>
          <w:szCs w:val="31"/>
        </w:rPr>
      </w:pPr>
      <w:r>
        <w:rPr>
          <w:rFonts w:ascii="黑体" w:hAnsi="黑体" w:eastAsia="黑体" w:cs="黑体"/>
          <w:spacing w:val="8"/>
          <w:sz w:val="31"/>
          <w:szCs w:val="31"/>
        </w:rPr>
        <w:t>六、深圳市龙岗区住房和建设局-通知通告</w:t>
      </w:r>
    </w:p>
    <w:p>
      <w:pPr>
        <w:spacing w:line="226" w:lineRule="auto"/>
        <w:rPr>
          <w:rFonts w:ascii="黑体" w:hAnsi="黑体" w:eastAsia="黑体" w:cs="黑体"/>
          <w:sz w:val="31"/>
          <w:szCs w:val="31"/>
        </w:rPr>
        <w:sectPr>
          <w:pgSz w:w="11906" w:h="16839"/>
          <w:pgMar w:top="1431" w:right="1785" w:bottom="0" w:left="1785" w:header="0" w:footer="0" w:gutter="0"/>
          <w:cols w:space="720" w:num="1"/>
        </w:sectPr>
      </w:pPr>
    </w:p>
    <w:p>
      <w:pPr>
        <w:spacing w:before="11" w:line="5594" w:lineRule="exact"/>
        <w:ind w:firstLine="14"/>
      </w:pPr>
      <w:r>
        <w:rPr>
          <w:position w:val="-111"/>
        </w:rPr>
        <w:drawing>
          <wp:inline distT="0" distB="0" distL="0" distR="0">
            <wp:extent cx="5273040" cy="3552190"/>
            <wp:effectExtent l="0" t="0" r="3810" b="1016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1"/>
                    <a:stretch>
                      <a:fillRect/>
                    </a:stretch>
                  </pic:blipFill>
                  <pic:spPr>
                    <a:xfrm>
                      <a:off x="0" y="0"/>
                      <a:ext cx="5273040" cy="3552444"/>
                    </a:xfrm>
                    <a:prstGeom prst="rect">
                      <a:avLst/>
                    </a:prstGeom>
                  </pic:spPr>
                </pic:pic>
              </a:graphicData>
            </a:graphic>
          </wp:inline>
        </w:drawing>
      </w:r>
    </w:p>
    <w:p>
      <w:pPr>
        <w:spacing w:line="316" w:lineRule="auto"/>
        <w:rPr>
          <w:rFonts w:ascii="Arial"/>
          <w:sz w:val="21"/>
        </w:rPr>
      </w:pPr>
    </w:p>
    <w:p>
      <w:pPr>
        <w:spacing w:before="65" w:line="228" w:lineRule="auto"/>
        <w:ind w:left="32"/>
        <w:rPr>
          <w:rFonts w:ascii="宋体" w:hAnsi="宋体" w:eastAsia="宋体" w:cs="宋体"/>
          <w:sz w:val="20"/>
          <w:szCs w:val="20"/>
        </w:rPr>
      </w:pPr>
      <w:r>
        <w:rPr>
          <w:rFonts w:ascii="宋体" w:hAnsi="宋体" w:eastAsia="宋体" w:cs="宋体"/>
          <w:spacing w:val="6"/>
          <w:sz w:val="20"/>
          <w:szCs w:val="20"/>
        </w:rPr>
        <w:t>（经查无不良记录）</w:t>
      </w:r>
    </w:p>
    <w:p>
      <w:pPr>
        <w:spacing w:before="188" w:line="227" w:lineRule="auto"/>
        <w:ind w:left="25"/>
        <w:outlineLvl w:val="1"/>
        <w:rPr>
          <w:rFonts w:ascii="黑体" w:hAnsi="黑体" w:eastAsia="黑体" w:cs="黑体"/>
          <w:sz w:val="31"/>
          <w:szCs w:val="31"/>
        </w:rPr>
      </w:pPr>
      <w:r>
        <w:rPr>
          <w:rFonts w:ascii="黑体" w:hAnsi="黑体" w:eastAsia="黑体" w:cs="黑体"/>
          <w:spacing w:val="8"/>
          <w:sz w:val="31"/>
          <w:szCs w:val="31"/>
        </w:rPr>
        <w:t>七、企查查商业查询平台</w:t>
      </w:r>
    </w:p>
    <w:p>
      <w:pPr>
        <w:spacing w:before="19" w:line="6206" w:lineRule="exact"/>
        <w:ind w:firstLine="14"/>
      </w:pPr>
      <w:r>
        <w:rPr>
          <w:position w:val="-124"/>
        </w:rPr>
        <w:drawing>
          <wp:inline distT="0" distB="0" distL="0" distR="0">
            <wp:extent cx="5265420" cy="3940810"/>
            <wp:effectExtent l="0" t="0" r="11430" b="254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2"/>
                    <a:stretch>
                      <a:fillRect/>
                    </a:stretch>
                  </pic:blipFill>
                  <pic:spPr>
                    <a:xfrm>
                      <a:off x="0" y="0"/>
                      <a:ext cx="5265420" cy="3941063"/>
                    </a:xfrm>
                    <a:prstGeom prst="rect">
                      <a:avLst/>
                    </a:prstGeom>
                  </pic:spPr>
                </pic:pic>
              </a:graphicData>
            </a:graphic>
          </wp:inline>
        </w:drawing>
      </w:r>
    </w:p>
    <w:p>
      <w:pPr>
        <w:spacing w:line="6206" w:lineRule="exact"/>
        <w:sectPr>
          <w:pgSz w:w="11906" w:h="16839"/>
          <w:pgMar w:top="1431" w:right="983" w:bottom="0" w:left="1785" w:header="0" w:footer="0" w:gutter="0"/>
          <w:cols w:space="720" w:num="1"/>
        </w:sectPr>
      </w:pPr>
    </w:p>
    <w:p>
      <w:pPr>
        <w:spacing w:before="44" w:line="6451" w:lineRule="exact"/>
        <w:ind w:firstLine="14"/>
      </w:pPr>
      <w:r>
        <w:drawing>
          <wp:anchor distT="0" distB="0" distL="0" distR="0" simplePos="0" relativeHeight="251661312" behindDoc="0" locked="0" layoutInCell="1" allowOverlap="1">
            <wp:simplePos x="0" y="0"/>
            <wp:positionH relativeFrom="column">
              <wp:posOffset>5972175</wp:posOffset>
            </wp:positionH>
            <wp:positionV relativeFrom="paragraph">
              <wp:posOffset>2390140</wp:posOffset>
            </wp:positionV>
            <wp:extent cx="8890" cy="535305"/>
            <wp:effectExtent l="0" t="0" r="10160" b="17145"/>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3"/>
                    <a:stretch>
                      <a:fillRect/>
                    </a:stretch>
                  </pic:blipFill>
                  <pic:spPr>
                    <a:xfrm>
                      <a:off x="0" y="0"/>
                      <a:ext cx="9059" cy="535116"/>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5643245</wp:posOffset>
            </wp:positionH>
            <wp:positionV relativeFrom="paragraph">
              <wp:posOffset>1961515</wp:posOffset>
            </wp:positionV>
            <wp:extent cx="27940" cy="755015"/>
            <wp:effectExtent l="0" t="0" r="10160" b="6985"/>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4"/>
                    <a:stretch>
                      <a:fillRect/>
                    </a:stretch>
                  </pic:blipFill>
                  <pic:spPr>
                    <a:xfrm>
                      <a:off x="0" y="0"/>
                      <a:ext cx="28242" cy="754835"/>
                    </a:xfrm>
                    <a:prstGeom prst="rect">
                      <a:avLst/>
                    </a:prstGeom>
                  </pic:spPr>
                </pic:pic>
              </a:graphicData>
            </a:graphic>
          </wp:anchor>
        </w:drawing>
      </w:r>
      <w:r>
        <w:drawing>
          <wp:anchor distT="0" distB="0" distL="0" distR="0" simplePos="0" relativeHeight="251659264" behindDoc="0" locked="0" layoutInCell="1" allowOverlap="1">
            <wp:simplePos x="0" y="0"/>
            <wp:positionH relativeFrom="column">
              <wp:posOffset>6080760</wp:posOffset>
            </wp:positionH>
            <wp:positionV relativeFrom="paragraph">
              <wp:posOffset>3143250</wp:posOffset>
            </wp:positionV>
            <wp:extent cx="36195" cy="807085"/>
            <wp:effectExtent l="0" t="0" r="1905" b="12065"/>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5"/>
                    <a:stretch>
                      <a:fillRect/>
                    </a:stretch>
                  </pic:blipFill>
                  <pic:spPr>
                    <a:xfrm>
                      <a:off x="0" y="0"/>
                      <a:ext cx="36314" cy="807282"/>
                    </a:xfrm>
                    <a:prstGeom prst="rect">
                      <a:avLst/>
                    </a:prstGeom>
                  </pic:spPr>
                </pic:pic>
              </a:graphicData>
            </a:graphic>
          </wp:anchor>
        </w:drawing>
      </w:r>
      <w:r>
        <w:rPr>
          <w:position w:val="-129"/>
        </w:rPr>
        <w:drawing>
          <wp:inline distT="0" distB="0" distL="0" distR="0">
            <wp:extent cx="5269865" cy="4096385"/>
            <wp:effectExtent l="0" t="0" r="6985" b="18415"/>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6"/>
                    <a:stretch>
                      <a:fillRect/>
                    </a:stretch>
                  </pic:blipFill>
                  <pic:spPr>
                    <a:xfrm>
                      <a:off x="0" y="0"/>
                      <a:ext cx="5269991" cy="4096511"/>
                    </a:xfrm>
                    <a:prstGeom prst="rect">
                      <a:avLst/>
                    </a:prstGeom>
                  </pic:spPr>
                </pic:pic>
              </a:graphicData>
            </a:graphic>
          </wp:inline>
        </w:drawing>
      </w:r>
    </w:p>
    <w:p>
      <w:pPr>
        <w:spacing w:line="448" w:lineRule="auto"/>
        <w:rPr>
          <w:rFonts w:ascii="Arial"/>
          <w:sz w:val="21"/>
        </w:rPr>
      </w:pPr>
    </w:p>
    <w:p>
      <w:pPr>
        <w:spacing w:before="101" w:line="225" w:lineRule="auto"/>
        <w:ind w:left="26"/>
        <w:outlineLvl w:val="1"/>
        <w:rPr>
          <w:rFonts w:ascii="黑体" w:hAnsi="黑体" w:eastAsia="黑体" w:cs="黑体"/>
          <w:sz w:val="31"/>
          <w:szCs w:val="31"/>
        </w:rPr>
      </w:pPr>
      <w:r>
        <w:rPr>
          <w:rFonts w:ascii="黑体" w:hAnsi="黑体" w:eastAsia="黑体" w:cs="黑体"/>
          <w:spacing w:val="8"/>
          <w:sz w:val="31"/>
          <w:szCs w:val="31"/>
        </w:rPr>
        <w:t>八、中国执行信息公开网</w:t>
      </w:r>
    </w:p>
    <w:p>
      <w:pPr>
        <w:spacing w:before="39" w:line="3967" w:lineRule="exact"/>
        <w:ind w:firstLine="14"/>
      </w:pPr>
      <w:r>
        <w:rPr>
          <w:position w:val="-79"/>
        </w:rPr>
        <w:drawing>
          <wp:inline distT="0" distB="0" distL="0" distR="0">
            <wp:extent cx="5269865" cy="2519045"/>
            <wp:effectExtent l="0" t="0" r="6985" b="14605"/>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7"/>
                    <a:stretch>
                      <a:fillRect/>
                    </a:stretch>
                  </pic:blipFill>
                  <pic:spPr>
                    <a:xfrm>
                      <a:off x="0" y="0"/>
                      <a:ext cx="5269991" cy="2519171"/>
                    </a:xfrm>
                    <a:prstGeom prst="rect">
                      <a:avLst/>
                    </a:prstGeom>
                  </pic:spPr>
                </pic:pic>
              </a:graphicData>
            </a:graphic>
          </wp:inline>
        </w:drawing>
      </w:r>
    </w:p>
    <w:p>
      <w:pPr>
        <w:spacing w:before="231" w:line="227" w:lineRule="auto"/>
        <w:ind w:left="34"/>
        <w:outlineLvl w:val="1"/>
        <w:rPr>
          <w:rFonts w:ascii="黑体" w:hAnsi="黑体" w:eastAsia="黑体" w:cs="黑体"/>
          <w:sz w:val="31"/>
          <w:szCs w:val="31"/>
        </w:rPr>
      </w:pPr>
      <w:r>
        <w:rPr>
          <w:rFonts w:ascii="黑体" w:hAnsi="黑体" w:eastAsia="黑体" w:cs="黑体"/>
          <w:spacing w:val="6"/>
          <w:sz w:val="31"/>
          <w:szCs w:val="31"/>
        </w:rPr>
        <w:t>九、龙岗诚信网</w:t>
      </w:r>
    </w:p>
    <w:p>
      <w:pPr>
        <w:spacing w:line="227" w:lineRule="auto"/>
        <w:rPr>
          <w:rFonts w:ascii="黑体" w:hAnsi="黑体" w:eastAsia="黑体" w:cs="黑体"/>
          <w:sz w:val="31"/>
          <w:szCs w:val="31"/>
        </w:rPr>
        <w:sectPr>
          <w:pgSz w:w="11906" w:h="16839"/>
          <w:pgMar w:top="1431" w:right="486" w:bottom="0" w:left="1785" w:header="0" w:footer="0" w:gutter="0"/>
          <w:cols w:space="720" w:num="1"/>
        </w:sectPr>
      </w:pPr>
    </w:p>
    <w:p>
      <w:pPr>
        <w:spacing w:before="116" w:line="3838" w:lineRule="exact"/>
        <w:ind w:firstLine="14"/>
      </w:pPr>
      <w:r>
        <w:rPr>
          <w:position w:val="-76"/>
        </w:rPr>
        <w:drawing>
          <wp:inline distT="0" distB="0" distL="0" distR="0">
            <wp:extent cx="5265420" cy="2436495"/>
            <wp:effectExtent l="0" t="0" r="11430" b="1905"/>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8"/>
                    <a:stretch>
                      <a:fillRect/>
                    </a:stretch>
                  </pic:blipFill>
                  <pic:spPr>
                    <a:xfrm>
                      <a:off x="0" y="0"/>
                      <a:ext cx="5265420" cy="2436876"/>
                    </a:xfrm>
                    <a:prstGeom prst="rect">
                      <a:avLst/>
                    </a:prstGeom>
                  </pic:spPr>
                </pic:pic>
              </a:graphicData>
            </a:graphic>
          </wp:inline>
        </w:drawing>
      </w:r>
    </w:p>
    <w:p>
      <w:pPr>
        <w:spacing w:before="286" w:line="226" w:lineRule="auto"/>
        <w:ind w:left="30"/>
        <w:outlineLvl w:val="1"/>
        <w:rPr>
          <w:rFonts w:ascii="黑体" w:hAnsi="黑体" w:eastAsia="黑体" w:cs="黑体"/>
          <w:sz w:val="31"/>
          <w:szCs w:val="31"/>
        </w:rPr>
      </w:pPr>
      <w:r>
        <w:rPr>
          <w:rFonts w:ascii="黑体" w:hAnsi="黑体" w:eastAsia="黑体" w:cs="黑体"/>
          <w:spacing w:val="8"/>
          <w:sz w:val="31"/>
          <w:szCs w:val="31"/>
        </w:rPr>
        <w:t>十、中国裁判文书网</w:t>
      </w:r>
    </w:p>
    <w:p>
      <w:pPr>
        <w:spacing w:before="97" w:line="6976" w:lineRule="exact"/>
        <w:ind w:firstLine="14"/>
      </w:pPr>
      <w:r>
        <w:rPr>
          <w:position w:val="-139"/>
        </w:rPr>
        <w:drawing>
          <wp:inline distT="0" distB="0" distL="0" distR="0">
            <wp:extent cx="5271135" cy="4429760"/>
            <wp:effectExtent l="0" t="0" r="5715" b="889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9"/>
                    <a:stretch>
                      <a:fillRect/>
                    </a:stretch>
                  </pic:blipFill>
                  <pic:spPr>
                    <a:xfrm>
                      <a:off x="0" y="0"/>
                      <a:ext cx="5271515" cy="4430267"/>
                    </a:xfrm>
                    <a:prstGeom prst="rect">
                      <a:avLst/>
                    </a:prstGeom>
                  </pic:spPr>
                </pic:pic>
              </a:graphicData>
            </a:graphic>
          </wp:inline>
        </w:drawing>
      </w:r>
    </w:p>
    <w:p>
      <w:pPr>
        <w:rPr>
          <w:rFonts w:hint="eastAsia" w:ascii="方正小标宋简体" w:hAnsi="方正小标宋简体" w:eastAsia="方正小标宋简体" w:cs="方正小标宋简体"/>
          <w:sz w:val="28"/>
          <w:szCs w:val="28"/>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Nimbus Roman No9 L">
    <w:altName w:val="AMGDT"/>
    <w:panose1 w:val="00000000000000000000"/>
    <w:charset w:val="00"/>
    <w:family w:val="auto"/>
    <w:pitch w:val="default"/>
    <w:sig w:usb0="00000000" w:usb1="00000000" w:usb2="00000000" w:usb3="00000000" w:csb0="00000000" w:csb1="00000000"/>
  </w:font>
  <w:font w:name="DejaVu Sans">
    <w:altName w:val="Segoe Print"/>
    <w:panose1 w:val="020B0603030804020204"/>
    <w:charset w:val="00"/>
    <w:family w:val="auto"/>
    <w:pitch w:val="default"/>
    <w:sig w:usb0="00000000" w:usb1="00000000" w:usb2="0A246029" w:usb3="0400200C" w:csb0="600001FF" w:csb1="DFFF0000"/>
  </w:font>
  <w:font w:name="方正书宋_GBK">
    <w:altName w:val="微软雅黑"/>
    <w:panose1 w:val="02000000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仿宋_GBK">
    <w:altName w:val="微软雅黑"/>
    <w:panose1 w:val="02000000000000000000"/>
    <w:charset w:val="86"/>
    <w:family w:val="auto"/>
    <w:pitch w:val="default"/>
    <w:sig w:usb0="00000000" w:usb1="00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方正黑体_GBK">
    <w:altName w:val="微软雅黑"/>
    <w:panose1 w:val="02000000000000000000"/>
    <w:charset w:val="86"/>
    <w:family w:val="auto"/>
    <w:pitch w:val="default"/>
    <w:sig w:usb0="00000000" w:usb1="00000000" w:usb2="00000000" w:usb3="00000000" w:csb0="00040000" w:csb1="00000000"/>
  </w:font>
  <w:font w:name="MathJax_Vector">
    <w:altName w:val="Trebuchet MS"/>
    <w:panose1 w:val="02000603000000000000"/>
    <w:charset w:val="00"/>
    <w:family w:val="auto"/>
    <w:pitch w:val="default"/>
    <w:sig w:usb0="00000000" w:usb1="00000000" w:usb2="00000000" w:usb3="00000000" w:csb0="00000001" w:csb1="00000000"/>
  </w:font>
  <w:font w:name="AMGDT">
    <w:panose1 w:val="02000400000000000000"/>
    <w:charset w:val="00"/>
    <w:family w:val="auto"/>
    <w:pitch w:val="default"/>
    <w:sig w:usb0="80000003" w:usb1="1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rebuchet MS">
    <w:panose1 w:val="020B0603020202020204"/>
    <w:charset w:val="00"/>
    <w:family w:val="auto"/>
    <w:pitch w:val="default"/>
    <w:sig w:usb0="00000687" w:usb1="00000000" w:usb2="00000000" w:usb3="00000000" w:csb0="2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A259070"/>
    <w:multiLevelType w:val="singleLevel"/>
    <w:tmpl w:val="CA259070"/>
    <w:lvl w:ilvl="0" w:tentative="0">
      <w:start w:val="1"/>
      <w:numFmt w:val="chineseCounting"/>
      <w:suff w:val="nothing"/>
      <w:lvlText w:val="%1、"/>
      <w:lvlJc w:val="left"/>
      <w:rPr>
        <w:rFonts w:hint="eastAsia"/>
      </w:rPr>
    </w:lvl>
  </w:abstractNum>
  <w:abstractNum w:abstractNumId="1">
    <w:nsid w:val="E3830C8E"/>
    <w:multiLevelType w:val="singleLevel"/>
    <w:tmpl w:val="E3830C8E"/>
    <w:lvl w:ilvl="0" w:tentative="0">
      <w:start w:val="9"/>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3ZjhmYzZmMzU2ODU4MjBkMGQwYzExZDQ1NmMwNjMifQ=="/>
  </w:docVars>
  <w:rsids>
    <w:rsidRoot w:val="62A00ED1"/>
    <w:rsid w:val="00F960E2"/>
    <w:rsid w:val="017E3275"/>
    <w:rsid w:val="02002179"/>
    <w:rsid w:val="035213BC"/>
    <w:rsid w:val="03632B85"/>
    <w:rsid w:val="04D864DA"/>
    <w:rsid w:val="056515D4"/>
    <w:rsid w:val="05DB4542"/>
    <w:rsid w:val="05FD423A"/>
    <w:rsid w:val="062C621D"/>
    <w:rsid w:val="07EA698C"/>
    <w:rsid w:val="087C6E83"/>
    <w:rsid w:val="090F6BE7"/>
    <w:rsid w:val="09715976"/>
    <w:rsid w:val="09C26B03"/>
    <w:rsid w:val="0A7E0242"/>
    <w:rsid w:val="0AEB6084"/>
    <w:rsid w:val="0B8D6308"/>
    <w:rsid w:val="0C100FDC"/>
    <w:rsid w:val="0C3018C8"/>
    <w:rsid w:val="0CC42FA3"/>
    <w:rsid w:val="0D6E421B"/>
    <w:rsid w:val="0D8B18DA"/>
    <w:rsid w:val="0DAE3F55"/>
    <w:rsid w:val="0E1E48E7"/>
    <w:rsid w:val="0E2E55FF"/>
    <w:rsid w:val="0FDF5381"/>
    <w:rsid w:val="10E21711"/>
    <w:rsid w:val="12A139F0"/>
    <w:rsid w:val="13651CF4"/>
    <w:rsid w:val="146443CE"/>
    <w:rsid w:val="1470780F"/>
    <w:rsid w:val="14EC7788"/>
    <w:rsid w:val="16473D00"/>
    <w:rsid w:val="168D18B5"/>
    <w:rsid w:val="16A31E08"/>
    <w:rsid w:val="16AB30BE"/>
    <w:rsid w:val="17380901"/>
    <w:rsid w:val="17E9546A"/>
    <w:rsid w:val="17FA4422"/>
    <w:rsid w:val="191431EE"/>
    <w:rsid w:val="19EC19AD"/>
    <w:rsid w:val="1A75136D"/>
    <w:rsid w:val="1C1D2AAE"/>
    <w:rsid w:val="1D9251CE"/>
    <w:rsid w:val="1E28170C"/>
    <w:rsid w:val="1E723E30"/>
    <w:rsid w:val="1FD828B7"/>
    <w:rsid w:val="202925D0"/>
    <w:rsid w:val="206D2036"/>
    <w:rsid w:val="21A22CCD"/>
    <w:rsid w:val="21BF4F7E"/>
    <w:rsid w:val="22446D21"/>
    <w:rsid w:val="229B67A7"/>
    <w:rsid w:val="235F655B"/>
    <w:rsid w:val="25987226"/>
    <w:rsid w:val="26A677D5"/>
    <w:rsid w:val="26F219D7"/>
    <w:rsid w:val="271D04C4"/>
    <w:rsid w:val="28432B25"/>
    <w:rsid w:val="28AB0FDB"/>
    <w:rsid w:val="28AF0319"/>
    <w:rsid w:val="298662C6"/>
    <w:rsid w:val="2A7D127A"/>
    <w:rsid w:val="2B5476EE"/>
    <w:rsid w:val="2C7B34EC"/>
    <w:rsid w:val="2CD93F2A"/>
    <w:rsid w:val="2CFB1161"/>
    <w:rsid w:val="2DF90021"/>
    <w:rsid w:val="2EDD43CF"/>
    <w:rsid w:val="2EFB214E"/>
    <w:rsid w:val="2F2B162E"/>
    <w:rsid w:val="3082010B"/>
    <w:rsid w:val="30BC1BD3"/>
    <w:rsid w:val="31163F3F"/>
    <w:rsid w:val="3639680B"/>
    <w:rsid w:val="36F721E6"/>
    <w:rsid w:val="374359D8"/>
    <w:rsid w:val="37FE01AC"/>
    <w:rsid w:val="39C83A16"/>
    <w:rsid w:val="3A195625"/>
    <w:rsid w:val="3BA26D44"/>
    <w:rsid w:val="3BD74CB6"/>
    <w:rsid w:val="3BDC03FF"/>
    <w:rsid w:val="3C2641AE"/>
    <w:rsid w:val="3C7214CF"/>
    <w:rsid w:val="3CFA77DC"/>
    <w:rsid w:val="4003395B"/>
    <w:rsid w:val="408A70DE"/>
    <w:rsid w:val="415B690C"/>
    <w:rsid w:val="41636B85"/>
    <w:rsid w:val="416B063D"/>
    <w:rsid w:val="41A25986"/>
    <w:rsid w:val="42421C90"/>
    <w:rsid w:val="429D78AF"/>
    <w:rsid w:val="431C22B2"/>
    <w:rsid w:val="43577949"/>
    <w:rsid w:val="4392713D"/>
    <w:rsid w:val="43AE4585"/>
    <w:rsid w:val="44271F8B"/>
    <w:rsid w:val="44827F1D"/>
    <w:rsid w:val="44895A98"/>
    <w:rsid w:val="44933E8B"/>
    <w:rsid w:val="455964F3"/>
    <w:rsid w:val="458639F2"/>
    <w:rsid w:val="468661F2"/>
    <w:rsid w:val="46ED2AD1"/>
    <w:rsid w:val="47096543"/>
    <w:rsid w:val="47EA5EC3"/>
    <w:rsid w:val="48101E5E"/>
    <w:rsid w:val="48DF7387"/>
    <w:rsid w:val="48F2322B"/>
    <w:rsid w:val="491F484E"/>
    <w:rsid w:val="4A3161C6"/>
    <w:rsid w:val="4BEC6C17"/>
    <w:rsid w:val="4C2456EC"/>
    <w:rsid w:val="4D660EFD"/>
    <w:rsid w:val="4DB42BD9"/>
    <w:rsid w:val="4DBE5B11"/>
    <w:rsid w:val="4DFA56E5"/>
    <w:rsid w:val="4F421473"/>
    <w:rsid w:val="4F5F2CA1"/>
    <w:rsid w:val="516E5315"/>
    <w:rsid w:val="522D431B"/>
    <w:rsid w:val="523F5984"/>
    <w:rsid w:val="53DD477C"/>
    <w:rsid w:val="54AA02BA"/>
    <w:rsid w:val="54E12C95"/>
    <w:rsid w:val="565F3770"/>
    <w:rsid w:val="575930B4"/>
    <w:rsid w:val="57B3559F"/>
    <w:rsid w:val="57C3230D"/>
    <w:rsid w:val="5933071D"/>
    <w:rsid w:val="59A0510E"/>
    <w:rsid w:val="5B0C598A"/>
    <w:rsid w:val="5BBE7BF3"/>
    <w:rsid w:val="5C310847"/>
    <w:rsid w:val="5DEB16A8"/>
    <w:rsid w:val="5EA26815"/>
    <w:rsid w:val="5ED16DA0"/>
    <w:rsid w:val="5EE664D7"/>
    <w:rsid w:val="5FD17D27"/>
    <w:rsid w:val="602E4005"/>
    <w:rsid w:val="604413E0"/>
    <w:rsid w:val="60914F5B"/>
    <w:rsid w:val="609F171D"/>
    <w:rsid w:val="615F23CD"/>
    <w:rsid w:val="62A00ED1"/>
    <w:rsid w:val="62BC3639"/>
    <w:rsid w:val="6446475A"/>
    <w:rsid w:val="644648C9"/>
    <w:rsid w:val="646C21F5"/>
    <w:rsid w:val="65BE64B5"/>
    <w:rsid w:val="672002AE"/>
    <w:rsid w:val="67EB7377"/>
    <w:rsid w:val="67F47199"/>
    <w:rsid w:val="69330D4E"/>
    <w:rsid w:val="695F6A1C"/>
    <w:rsid w:val="697C7B43"/>
    <w:rsid w:val="699E4C3D"/>
    <w:rsid w:val="6B0E2A83"/>
    <w:rsid w:val="6C213E6F"/>
    <w:rsid w:val="6CD05BD3"/>
    <w:rsid w:val="6D196795"/>
    <w:rsid w:val="6D362875"/>
    <w:rsid w:val="6FCA1966"/>
    <w:rsid w:val="71B66C56"/>
    <w:rsid w:val="71BA760E"/>
    <w:rsid w:val="72FB77ED"/>
    <w:rsid w:val="73CC7850"/>
    <w:rsid w:val="7498045D"/>
    <w:rsid w:val="75AE527D"/>
    <w:rsid w:val="7674143F"/>
    <w:rsid w:val="76D1573A"/>
    <w:rsid w:val="76D36C77"/>
    <w:rsid w:val="77D66D77"/>
    <w:rsid w:val="78930611"/>
    <w:rsid w:val="789314F0"/>
    <w:rsid w:val="78F13359"/>
    <w:rsid w:val="797E259E"/>
    <w:rsid w:val="7A554026"/>
    <w:rsid w:val="7B1A6ED4"/>
    <w:rsid w:val="7BCF6A8B"/>
    <w:rsid w:val="7D1421BA"/>
    <w:rsid w:val="7D6A74BE"/>
    <w:rsid w:val="7DA727D6"/>
    <w:rsid w:val="7E4068A7"/>
    <w:rsid w:val="7EFB4A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Arial" w:cs="Arial"/>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uppressAutoHyphens/>
      <w:jc w:val="both"/>
    </w:pPr>
    <w:rPr>
      <w:rFonts w:ascii="Times New Roman" w:hAnsi="Times New Roman" w:eastAsia="宋体" w:cs="Times New Roman"/>
      <w:kern w:val="1"/>
      <w:sz w:val="21"/>
      <w:szCs w:val="24"/>
      <w:lang w:val="en-US" w:eastAsia="ar-SA" w:bidi="ar-SA"/>
    </w:rPr>
  </w:style>
  <w:style w:type="character" w:default="1" w:styleId="6">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customStyle="1" w:styleId="2">
    <w:name w:val="_Style 1"/>
    <w:basedOn w:val="1"/>
    <w:next w:val="1"/>
    <w:qFormat/>
    <w:uiPriority w:val="99"/>
    <w:pPr>
      <w:ind w:firstLine="420" w:firstLineChars="200"/>
    </w:pPr>
  </w:style>
  <w:style w:type="paragraph" w:styleId="3">
    <w:name w:val="Normal Indent"/>
    <w:basedOn w:val="1"/>
    <w:qFormat/>
    <w:uiPriority w:val="0"/>
    <w:pPr>
      <w:ind w:firstLine="420" w:firstLineChars="200"/>
    </w:pPr>
    <w:rPr>
      <w:rFonts w:ascii="Times New Roman" w:hAnsi="Times New Roman" w:eastAsia="宋体" w:cs="Times New Roman"/>
      <w:kern w:val="2"/>
      <w:sz w:val="21"/>
      <w:lang w:bidi="ar-SA"/>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Hyperlink"/>
    <w:basedOn w:val="6"/>
    <w:qFormat/>
    <w:uiPriority w:val="0"/>
    <w:rPr>
      <w:color w:val="0000FF"/>
      <w:u w:val="single"/>
    </w:rPr>
  </w:style>
  <w:style w:type="table" w:styleId="9">
    <w:name w:val="Table Grid"/>
    <w:basedOn w:val="8"/>
    <w:qFormat/>
    <w:uiPriority w:val="0"/>
    <w:pPr>
      <w:widowControl w:val="0"/>
      <w:suppressAutoHyphens/>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2296</Words>
  <Characters>2482</Characters>
  <Lines>0</Lines>
  <Paragraphs>0</Paragraphs>
  <TotalTime>11</TotalTime>
  <ScaleCrop>false</ScaleCrop>
  <LinksUpToDate>false</LinksUpToDate>
  <CharactersWithSpaces>2516</CharactersWithSpaces>
  <Application>WPS Office_10.8.0.6423_F1E327BC-269C-435d-A152-05C5408002CA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2024-03-19T18:50:00Z</dcterms:created>
  <dc:creator>wrb</dc:creator>
  <cp:lastModifiedBy>南湾市政管理中心</cp:lastModifiedBy>
  <cp:lastPrinted>2025-05-23T19:42:00Z</cp:lastPrinted>
  <dcterms:modified xsi:type="dcterms:W3CDTF">2025-05-27T08:32:06Z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y fmtid="{D5CDD505-2E9C-101B-9397-08002B2CF9AE}" pid="3" name="ICV">
    <vt:lpwstr>8E1D7C23B05843F6A7F5BD8179238F55_13</vt:lpwstr>
  </property>
</Properties>
</file>