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DCE29">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深圳市龙岗中心医院2024年度审计服务项目</w:t>
      </w:r>
      <w:r>
        <w:rPr>
          <w:rFonts w:hint="eastAsia" w:ascii="仿宋" w:hAnsi="仿宋" w:eastAsia="仿宋" w:cs="仿宋"/>
          <w:b/>
          <w:bCs/>
          <w:sz w:val="44"/>
          <w:szCs w:val="44"/>
          <w:highlight w:val="none"/>
        </w:rPr>
        <w:t>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2A59EB7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98B0165">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4FFBA800">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LGZXYYZBB20250611-1</w:t>
            </w:r>
          </w:p>
        </w:tc>
      </w:tr>
      <w:tr w14:paraId="5C5173C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DE0CA74">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5DB7F709">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深圳市龙岗中心医院2024年度审计服务项目</w:t>
            </w:r>
          </w:p>
        </w:tc>
      </w:tr>
      <w:tr w14:paraId="592A5E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BA7822A">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F792F44">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63F0CE8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E8338B7">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6ECB433">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14:paraId="7F3C4A5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AE26D41">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318567D2">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3034F62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197ABF3">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222BF26C">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51D990A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806E24C">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3375B2EF">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3759B63A">
      <w:pPr>
        <w:pStyle w:val="16"/>
        <w:jc w:val="center"/>
        <w:outlineLvl w:val="1"/>
        <w:rPr>
          <w:rFonts w:hint="eastAsia" w:ascii="仿宋" w:hAnsi="仿宋" w:eastAsia="仿宋" w:cs="仿宋"/>
          <w:sz w:val="24"/>
          <w:szCs w:val="24"/>
          <w:highlight w:val="none"/>
        </w:rPr>
      </w:pPr>
    </w:p>
    <w:p w14:paraId="597263DD">
      <w:pPr>
        <w:pStyle w:val="16"/>
        <w:jc w:val="center"/>
        <w:outlineLvl w:val="1"/>
        <w:rPr>
          <w:rFonts w:hint="eastAsia" w:ascii="仿宋" w:hAnsi="仿宋" w:eastAsia="仿宋" w:cs="仿宋"/>
          <w:sz w:val="24"/>
          <w:szCs w:val="24"/>
          <w:highlight w:val="none"/>
        </w:rPr>
      </w:pPr>
    </w:p>
    <w:p w14:paraId="4EC439A7">
      <w:pPr>
        <w:pStyle w:val="16"/>
        <w:jc w:val="center"/>
        <w:outlineLvl w:val="1"/>
        <w:rPr>
          <w:rFonts w:hint="eastAsia" w:ascii="仿宋" w:hAnsi="仿宋" w:eastAsia="仿宋" w:cs="仿宋"/>
          <w:sz w:val="24"/>
          <w:szCs w:val="24"/>
          <w:highlight w:val="none"/>
        </w:rPr>
      </w:pPr>
    </w:p>
    <w:p w14:paraId="1D4F9304">
      <w:pPr>
        <w:pStyle w:val="16"/>
        <w:widowControl/>
        <w:jc w:val="center"/>
        <w:outlineLvl w:val="1"/>
        <w:rPr>
          <w:rFonts w:hint="eastAsia" w:ascii="仿宋" w:hAnsi="仿宋" w:eastAsia="仿宋" w:cs="仿宋"/>
          <w:sz w:val="40"/>
          <w:szCs w:val="40"/>
          <w:highlight w:val="none"/>
        </w:rPr>
      </w:pPr>
    </w:p>
    <w:p w14:paraId="56B6611F">
      <w:pPr>
        <w:pStyle w:val="16"/>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3C269F4F">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8"/>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B9EA5BE">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B91C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84B0D2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5EC7F5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186FB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E6A8C0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9EC475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49"/>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49"/>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49"/>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6CA7BC86">
      <w:pPr>
        <w:pStyle w:val="49"/>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14:paraId="06580FD6">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18174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41EA8">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8FF906">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7BA35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6AA74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7A7A7E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1812B810">
      <w:pPr>
        <w:pStyle w:val="16"/>
        <w:widowControl/>
        <w:spacing w:before="280" w:beforeAutospacing="0"/>
        <w:jc w:val="both"/>
        <w:outlineLvl w:val="1"/>
        <w:rPr>
          <w:rFonts w:hint="eastAsia" w:ascii="仿宋" w:hAnsi="仿宋" w:eastAsia="仿宋" w:cs="仿宋"/>
          <w:sz w:val="40"/>
          <w:szCs w:val="40"/>
          <w:highlight w:val="none"/>
        </w:rPr>
      </w:pPr>
    </w:p>
    <w:p w14:paraId="68C3DD90">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424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1F34AD3F">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503290A3">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4C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C51DD0C">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54BB53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687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2CE4DF46">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210D065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C83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2B8BEC0">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22829D9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6493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893E81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7588E54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BF0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D79222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5817B3C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7CE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D626DA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7615C29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0382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343B5C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1143BF2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79E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7984B4">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495BAFD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4A51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A5F718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46A4E2B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432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7C4A6E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8E017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4F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99577F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61D69F2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6108584D">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00B02D94">
      <w:pPr>
        <w:pStyle w:val="16"/>
        <w:jc w:val="center"/>
        <w:outlineLvl w:val="1"/>
        <w:rPr>
          <w:rFonts w:hint="eastAsia" w:ascii="仿宋" w:hAnsi="仿宋" w:eastAsia="仿宋" w:cs="仿宋"/>
          <w:sz w:val="40"/>
          <w:szCs w:val="40"/>
          <w:highlight w:val="none"/>
        </w:rPr>
      </w:pPr>
    </w:p>
    <w:p w14:paraId="6D4C19A4">
      <w:pPr>
        <w:pStyle w:val="16"/>
        <w:jc w:val="center"/>
        <w:outlineLvl w:val="1"/>
        <w:rPr>
          <w:rFonts w:hint="eastAsia" w:ascii="仿宋" w:hAnsi="仿宋" w:eastAsia="仿宋" w:cs="仿宋"/>
          <w:sz w:val="24"/>
          <w:szCs w:val="24"/>
          <w:highlight w:val="none"/>
        </w:rPr>
      </w:pPr>
    </w:p>
    <w:p w14:paraId="7CDEB892">
      <w:pPr>
        <w:pStyle w:val="16"/>
        <w:jc w:val="center"/>
        <w:outlineLvl w:val="1"/>
        <w:rPr>
          <w:rFonts w:hint="eastAsia" w:ascii="仿宋" w:hAnsi="仿宋" w:eastAsia="仿宋" w:cs="仿宋"/>
          <w:sz w:val="24"/>
          <w:szCs w:val="24"/>
          <w:highlight w:val="none"/>
        </w:rPr>
      </w:pPr>
    </w:p>
    <w:p w14:paraId="0BFE93A7">
      <w:pPr>
        <w:pStyle w:val="16"/>
        <w:spacing w:after="1134"/>
        <w:jc w:val="center"/>
        <w:outlineLvl w:val="1"/>
        <w:rPr>
          <w:rFonts w:hint="eastAsia" w:ascii="仿宋" w:hAnsi="仿宋" w:eastAsia="仿宋" w:cs="仿宋"/>
          <w:b/>
          <w:bCs/>
          <w:sz w:val="32"/>
          <w:szCs w:val="32"/>
          <w:highlight w:val="none"/>
        </w:rPr>
      </w:pPr>
    </w:p>
    <w:p w14:paraId="212B163D">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4998" w:type="pct"/>
        <w:jc w:val="center"/>
        <w:tblCellSpacing w:w="0" w:type="dxa"/>
        <w:tblLayout w:type="autofit"/>
        <w:tblCellMar>
          <w:top w:w="45" w:type="dxa"/>
          <w:left w:w="45" w:type="dxa"/>
          <w:bottom w:w="45" w:type="dxa"/>
          <w:right w:w="45" w:type="dxa"/>
        </w:tblCellMar>
      </w:tblPr>
      <w:tblGrid>
        <w:gridCol w:w="55"/>
        <w:gridCol w:w="35"/>
        <w:gridCol w:w="500"/>
        <w:gridCol w:w="524"/>
        <w:gridCol w:w="932"/>
        <w:gridCol w:w="935"/>
        <w:gridCol w:w="3501"/>
        <w:gridCol w:w="121"/>
        <w:gridCol w:w="1711"/>
        <w:gridCol w:w="79"/>
      </w:tblGrid>
      <w:tr w14:paraId="68082C99">
        <w:tblPrEx>
          <w:tblCellMar>
            <w:top w:w="45" w:type="dxa"/>
            <w:left w:w="45" w:type="dxa"/>
            <w:bottom w:w="45" w:type="dxa"/>
            <w:right w:w="45" w:type="dxa"/>
          </w:tblCellMar>
        </w:tblPrEx>
        <w:trPr>
          <w:gridBefore w:val="1"/>
          <w:gridAfter w:val="2"/>
          <w:wBefore w:w="33" w:type="pct"/>
          <w:wAfter w:w="1065" w:type="pct"/>
          <w:tblCellSpacing w:w="0" w:type="dxa"/>
          <w:jc w:val="center"/>
        </w:trPr>
        <w:tc>
          <w:tcPr>
            <w:tcW w:w="3828" w:type="pct"/>
            <w:gridSpan w:val="6"/>
            <w:tcBorders>
              <w:top w:val="nil"/>
              <w:left w:val="nil"/>
              <w:bottom w:val="nil"/>
              <w:right w:val="nil"/>
            </w:tcBorders>
            <w:vAlign w:val="center"/>
          </w:tcPr>
          <w:p w14:paraId="613F9465">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2" w:type="pct"/>
            <w:tcBorders>
              <w:top w:val="nil"/>
              <w:left w:val="nil"/>
              <w:bottom w:val="nil"/>
              <w:right w:val="nil"/>
            </w:tcBorders>
            <w:vAlign w:val="center"/>
          </w:tcPr>
          <w:p w14:paraId="675DD092">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14:paraId="79CCA0BB">
        <w:tblPrEx>
          <w:tblCellMar>
            <w:top w:w="45" w:type="dxa"/>
            <w:left w:w="45" w:type="dxa"/>
            <w:bottom w:w="45" w:type="dxa"/>
            <w:right w:w="45" w:type="dxa"/>
          </w:tblCellMar>
        </w:tblPrEx>
        <w:trPr>
          <w:gridBefore w:val="2"/>
          <w:gridAfter w:val="1"/>
          <w:wBefore w:w="54" w:type="pct"/>
          <w:wAfter w:w="47" w:type="pct"/>
          <w:trHeight w:val="90" w:hRule="atLeast"/>
          <w:tblCellSpacing w:w="0" w:type="dxa"/>
          <w:jc w:val="center"/>
        </w:trPr>
        <w:tc>
          <w:tcPr>
            <w:tcW w:w="489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134"/>
            </w:tblGrid>
            <w:tr w14:paraId="04AFC33F">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60FC1F0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01E842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31C79F2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6922B95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7708F9D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3F50041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18F1292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70AA3F0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EFBCAC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5619C77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9AE103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bookmarkStart w:id="0" w:name="_Hlk71970739"/>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投标人提供的服务全部均由优惠主体承接，则对其投标总价给予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%的扣除，用扣除后的价格参与评审。满足多项优惠政策的企业，不重复享受多项价格扣除政策。</w:t>
                  </w:r>
                </w:p>
                <w:p w14:paraId="1C2EAF0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优惠主体承接是指提供服务的人员为中小企业依照《中华人民共和国劳动合同法》订立劳动合同的从业人员。</w:t>
                  </w:r>
                </w:p>
                <w:p w14:paraId="014B247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color w:val="auto"/>
                      <w:kern w:val="0"/>
                      <w:sz w:val="24"/>
                      <w:szCs w:val="24"/>
                      <w:highlight w:val="none"/>
                      <w:u w:val="single"/>
                      <w:lang w:val="en-US" w:eastAsia="zh-CN"/>
                    </w:rPr>
                    <w:t>租赁和商务服务业</w:t>
                  </w:r>
                  <w:r>
                    <w:rPr>
                      <w:rFonts w:hint="eastAsia" w:ascii="仿宋" w:hAnsi="仿宋" w:eastAsia="仿宋" w:cs="仿宋"/>
                      <w:color w:val="auto"/>
                      <w:kern w:val="0"/>
                      <w:sz w:val="24"/>
                      <w:szCs w:val="24"/>
                      <w:highlight w:val="none"/>
                      <w:u w:val="single"/>
                      <w:lang w:val="en-US" w:eastAsia="zh-CN"/>
                    </w:rPr>
                    <w:t>。</w:t>
                  </w:r>
                  <w:bookmarkEnd w:id="0"/>
                </w:p>
                <w:p w14:paraId="64BA244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05EEA6E0">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5D4F04A7">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gridSpan w:val="3"/>
            <w:tcBorders>
              <w:top w:val="single" w:color="auto" w:sz="4" w:space="0"/>
              <w:left w:val="single" w:color="auto" w:sz="4" w:space="0"/>
              <w:bottom w:val="single" w:color="auto" w:sz="4" w:space="0"/>
              <w:right w:val="single" w:color="auto" w:sz="4" w:space="0"/>
            </w:tcBorders>
            <w:vAlign w:val="center"/>
          </w:tcPr>
          <w:p w14:paraId="58014F2E">
            <w:pPr>
              <w:pStyle w:val="15"/>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44D7068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3A5D672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gridSpan w:val="3"/>
            <w:tcBorders>
              <w:top w:val="single" w:color="auto" w:sz="4" w:space="0"/>
              <w:left w:val="single" w:color="auto" w:sz="4" w:space="0"/>
              <w:bottom w:val="single" w:color="auto" w:sz="4" w:space="0"/>
              <w:right w:val="single" w:color="auto" w:sz="4" w:space="0"/>
            </w:tcBorders>
            <w:vAlign w:val="center"/>
          </w:tcPr>
          <w:p w14:paraId="4CAF3673">
            <w:pPr>
              <w:pStyle w:val="15"/>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60065A1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0F50FDC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26</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15"/>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202D36A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6E7B692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49</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FF53D04">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14:paraId="7541348E">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7" w:type="pct"/>
            <w:tcBorders>
              <w:top w:val="single" w:color="auto" w:sz="4" w:space="0"/>
              <w:left w:val="single" w:color="auto" w:sz="4" w:space="0"/>
              <w:bottom w:val="single" w:color="auto" w:sz="4" w:space="0"/>
              <w:right w:val="single" w:color="auto" w:sz="4" w:space="0"/>
            </w:tcBorders>
            <w:vAlign w:val="center"/>
          </w:tcPr>
          <w:p w14:paraId="3DDE6069">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4E3F2CC5">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5A2E6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26F82428">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5754A86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2D748E9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p>
        </w:tc>
        <w:tc>
          <w:tcPr>
            <w:tcW w:w="557" w:type="pct"/>
            <w:tcBorders>
              <w:top w:val="single" w:color="auto" w:sz="4" w:space="0"/>
              <w:left w:val="single" w:color="auto" w:sz="4" w:space="0"/>
              <w:bottom w:val="single" w:color="auto" w:sz="4" w:space="0"/>
              <w:right w:val="single" w:color="auto" w:sz="4" w:space="0"/>
            </w:tcBorders>
            <w:vAlign w:val="center"/>
          </w:tcPr>
          <w:p w14:paraId="7301B0B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0C6914A6">
            <w:pPr>
              <w:pStyle w:val="6"/>
              <w:keepNext w:val="0"/>
              <w:keepLines w:val="0"/>
              <w:suppressLineNumbers w:val="0"/>
              <w:spacing w:before="0" w:beforeAutospacing="0" w:after="0" w:afterAutospacing="0"/>
              <w:ind w:left="0" w:right="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（一）评分内容：</w:t>
            </w:r>
          </w:p>
          <w:p w14:paraId="3252CA55">
            <w:pPr>
              <w:pStyle w:val="6"/>
              <w:keepNext w:val="0"/>
              <w:keepLines w:val="0"/>
              <w:suppressLineNumbers w:val="0"/>
              <w:spacing w:before="0" w:beforeAutospacing="0" w:after="0" w:afterAutospacing="0"/>
              <w:ind w:left="0" w:right="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投标人根据本项目招标文件的服务需求作出服务方案，包括但不限于</w:t>
            </w:r>
            <w:r>
              <w:rPr>
                <w:rStyle w:val="44"/>
                <w:rFonts w:hint="eastAsia" w:ascii="仿宋" w:hAnsi="仿宋" w:eastAsia="仿宋" w:cs="仿宋"/>
                <w:sz w:val="24"/>
                <w:szCs w:val="24"/>
                <w:highlight w:val="none"/>
              </w:rPr>
              <w:t>以下内容：</w:t>
            </w:r>
          </w:p>
          <w:p w14:paraId="76DCDAA8">
            <w:pPr>
              <w:pStyle w:val="6"/>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审计服务实施计划；</w:t>
            </w:r>
          </w:p>
          <w:p w14:paraId="40F078EA">
            <w:pPr>
              <w:pStyle w:val="6"/>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人员安排；</w:t>
            </w:r>
          </w:p>
          <w:p w14:paraId="76BB62FD">
            <w:pPr>
              <w:pStyle w:val="6"/>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审计工作阶段安排；</w:t>
            </w:r>
          </w:p>
          <w:p w14:paraId="43284B19">
            <w:pPr>
              <w:pStyle w:val="6"/>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4.审计进度管理。</w:t>
            </w:r>
          </w:p>
          <w:p w14:paraId="751A4EEE">
            <w:pPr>
              <w:pStyle w:val="6"/>
              <w:keepNext w:val="0"/>
              <w:keepLines w:val="0"/>
              <w:suppressLineNumbers w:val="0"/>
              <w:spacing w:before="0" w:beforeAutospacing="0" w:after="0" w:afterAutospacing="0"/>
              <w:ind w:left="0" w:right="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（二）评分依据：</w:t>
            </w:r>
          </w:p>
          <w:p w14:paraId="53589B5E">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zh-CN"/>
              </w:rPr>
              <w:t>分，其他不得分。</w:t>
            </w:r>
          </w:p>
          <w:p w14:paraId="571B210C">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sz w:val="24"/>
                <w:szCs w:val="24"/>
                <w:highlight w:val="none"/>
                <w:lang w:val="zh-CN"/>
              </w:rPr>
              <w:t>在此基础上，按照下列要求进行加分：</w:t>
            </w:r>
          </w:p>
          <w:p w14:paraId="3DE72AEB">
            <w:pPr>
              <w:pStyle w:val="6"/>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（1）服务方案全面、具体、思路清晰；满足服务要求，人员配备充足，分工明确；能将“会计报表审计”、“内控评价”项目做好整体的进度安排；实施方案合理，可操作性强。得7分；</w:t>
            </w:r>
          </w:p>
          <w:p w14:paraId="1905D32D">
            <w:pPr>
              <w:pStyle w:val="6"/>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（2）项目实施方案完整性、可操作性一般；人员配置充足，分工较明确；基本能做好整体进度安排。得5分；</w:t>
            </w:r>
          </w:p>
          <w:p w14:paraId="51023ADC">
            <w:pPr>
              <w:pStyle w:val="6"/>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（3）项目实施方案未明确内控评价及风险评估的具体审计内容、实施方案较为笼统，整体内容较为简单；人员配备不充足，分工不明确，不能满足服务需求。得3分。</w:t>
            </w:r>
          </w:p>
          <w:p w14:paraId="3862FF4B">
            <w:pPr>
              <w:pStyle w:val="6"/>
              <w:keepNext w:val="0"/>
              <w:keepLines w:val="0"/>
              <w:suppressLineNumbers w:val="0"/>
              <w:spacing w:before="0" w:beforeAutospacing="0" w:after="0" w:afterAutospacing="0"/>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未提供方案或提供的不符合或专家无法凭所提供材料判断是否得分的情况，一律作不得分处理。</w:t>
            </w:r>
          </w:p>
        </w:tc>
      </w:tr>
      <w:tr w14:paraId="2C843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3F294EA9">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1AA0272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p>
        </w:tc>
        <w:tc>
          <w:tcPr>
            <w:tcW w:w="555" w:type="pct"/>
            <w:tcBorders>
              <w:top w:val="single" w:color="auto" w:sz="4" w:space="0"/>
              <w:left w:val="single" w:color="auto" w:sz="4" w:space="0"/>
              <w:bottom w:val="single" w:color="auto" w:sz="4" w:space="0"/>
              <w:right w:val="single" w:color="auto" w:sz="4" w:space="0"/>
            </w:tcBorders>
            <w:vAlign w:val="center"/>
          </w:tcPr>
          <w:p w14:paraId="088037D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质量保障措施</w:t>
            </w:r>
          </w:p>
        </w:tc>
        <w:tc>
          <w:tcPr>
            <w:tcW w:w="557" w:type="pct"/>
            <w:tcBorders>
              <w:top w:val="single" w:color="auto" w:sz="4" w:space="0"/>
              <w:left w:val="single" w:color="auto" w:sz="4" w:space="0"/>
              <w:bottom w:val="single" w:color="auto" w:sz="4" w:space="0"/>
              <w:right w:val="single" w:color="auto" w:sz="4" w:space="0"/>
            </w:tcBorders>
            <w:vAlign w:val="center"/>
          </w:tcPr>
          <w:p w14:paraId="0A8AF21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155A20F2">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Style w:val="44"/>
                <w:rFonts w:hint="eastAsia" w:ascii="仿宋" w:hAnsi="仿宋" w:eastAsia="仿宋" w:cs="仿宋"/>
                <w:b/>
                <w:bCs/>
                <w:sz w:val="24"/>
                <w:szCs w:val="24"/>
                <w:highlight w:val="none"/>
              </w:rPr>
              <w:t>（一）评分内容：</w:t>
            </w:r>
          </w:p>
          <w:p w14:paraId="14EB8B99">
            <w:pPr>
              <w:pStyle w:val="6"/>
              <w:keepNext w:val="0"/>
              <w:keepLines w:val="0"/>
              <w:suppressLineNumbers w:val="0"/>
              <w:spacing w:before="0" w:beforeAutospacing="0" w:after="0" w:afterAutospacing="0"/>
              <w:ind w:left="0" w:right="0"/>
              <w:rPr>
                <w:rFonts w:hint="eastAsia" w:ascii="仿宋" w:hAnsi="仿宋" w:eastAsia="仿宋" w:cs="仿宋"/>
                <w:sz w:val="24"/>
                <w:szCs w:val="24"/>
                <w:lang w:val="zh-CN"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投标人针对本项目作出</w:t>
            </w:r>
            <w:r>
              <w:rPr>
                <w:rFonts w:hint="eastAsia" w:ascii="仿宋" w:hAnsi="仿宋" w:eastAsia="仿宋" w:cs="仿宋"/>
                <w:sz w:val="24"/>
                <w:szCs w:val="24"/>
                <w:lang w:val="en-US" w:eastAsia="zh-CN"/>
              </w:rPr>
              <w:t>项目后期</w:t>
            </w:r>
            <w:r>
              <w:rPr>
                <w:rFonts w:hint="eastAsia" w:ascii="仿宋" w:hAnsi="仿宋" w:eastAsia="仿宋" w:cs="仿宋"/>
                <w:sz w:val="24"/>
                <w:szCs w:val="24"/>
                <w:highlight w:val="none"/>
              </w:rPr>
              <w:t>质量保障措施</w:t>
            </w:r>
            <w:r>
              <w:rPr>
                <w:rFonts w:hint="eastAsia" w:ascii="仿宋" w:hAnsi="仿宋" w:eastAsia="仿宋" w:cs="仿宋"/>
                <w:sz w:val="24"/>
                <w:szCs w:val="24"/>
                <w:lang w:val="zh-CN"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包括但不限于</w:t>
            </w:r>
            <w:r>
              <w:rPr>
                <w:rStyle w:val="44"/>
                <w:rFonts w:hint="eastAsia" w:ascii="仿宋" w:hAnsi="仿宋" w:eastAsia="仿宋" w:cs="仿宋"/>
                <w:sz w:val="24"/>
                <w:szCs w:val="24"/>
                <w:highlight w:val="none"/>
              </w:rPr>
              <w:t>以下内容：</w:t>
            </w:r>
          </w:p>
          <w:p w14:paraId="2C14F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1.针对本项目的派驻人员管理，有具体的人员安排及明确的分工；</w:t>
            </w:r>
          </w:p>
          <w:p w14:paraId="7B76A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2.因所派驻人员突然离职出现人员缺岗等突发情况有具体的应对措施；</w:t>
            </w:r>
          </w:p>
          <w:p w14:paraId="44F4CD7A">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Style w:val="44"/>
                <w:rFonts w:hint="eastAsia" w:ascii="仿宋" w:hAnsi="仿宋" w:eastAsia="仿宋" w:cs="仿宋"/>
                <w:sz w:val="24"/>
                <w:szCs w:val="24"/>
                <w:highlight w:val="none"/>
              </w:rPr>
            </w:pPr>
            <w:r>
              <w:rPr>
                <w:rFonts w:hint="eastAsia" w:ascii="仿宋" w:hAnsi="仿宋" w:eastAsia="仿宋" w:cs="仿宋"/>
                <w:sz w:val="24"/>
                <w:szCs w:val="24"/>
                <w:lang w:val="en-US" w:eastAsia="zh-CN"/>
              </w:rPr>
              <w:t>3.紧急情况人员保障服务措施，切实符合招标文件需求。</w:t>
            </w:r>
          </w:p>
          <w:p w14:paraId="3256ADE0">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Style w:val="44"/>
                <w:rFonts w:hint="eastAsia" w:ascii="仿宋" w:hAnsi="仿宋" w:eastAsia="仿宋" w:cs="仿宋"/>
                <w:b/>
                <w:bCs/>
                <w:sz w:val="24"/>
                <w:szCs w:val="24"/>
                <w:highlight w:val="none"/>
              </w:rPr>
            </w:pPr>
            <w:r>
              <w:rPr>
                <w:rStyle w:val="44"/>
                <w:rFonts w:hint="eastAsia" w:ascii="仿宋" w:hAnsi="仿宋" w:eastAsia="仿宋" w:cs="仿宋"/>
                <w:b/>
                <w:bCs/>
                <w:sz w:val="24"/>
                <w:szCs w:val="24"/>
                <w:highlight w:val="none"/>
              </w:rPr>
              <w:t>（</w:t>
            </w:r>
            <w:r>
              <w:rPr>
                <w:rStyle w:val="44"/>
                <w:rFonts w:hint="eastAsia" w:ascii="仿宋" w:hAnsi="仿宋" w:eastAsia="仿宋" w:cs="仿宋"/>
                <w:b/>
                <w:bCs/>
                <w:sz w:val="24"/>
                <w:szCs w:val="24"/>
                <w:highlight w:val="none"/>
                <w:lang w:val="en-US" w:eastAsia="zh-CN"/>
              </w:rPr>
              <w:t>二</w:t>
            </w:r>
            <w:r>
              <w:rPr>
                <w:rStyle w:val="44"/>
                <w:rFonts w:hint="eastAsia" w:ascii="仿宋" w:hAnsi="仿宋" w:eastAsia="仿宋" w:cs="仿宋"/>
                <w:b/>
                <w:bCs/>
                <w:sz w:val="24"/>
                <w:szCs w:val="24"/>
                <w:highlight w:val="none"/>
              </w:rPr>
              <w:t>）评分依据：</w:t>
            </w:r>
          </w:p>
          <w:p w14:paraId="73AD7823">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分，其他不得分。</w:t>
            </w:r>
          </w:p>
          <w:p w14:paraId="30C74C6E">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sz w:val="24"/>
                <w:szCs w:val="24"/>
                <w:highlight w:val="none"/>
                <w:lang w:val="zh-CN"/>
              </w:rPr>
              <w:t>在此基础上，按照下列要求进行加分：</w:t>
            </w:r>
          </w:p>
          <w:p w14:paraId="35311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（1）方案内容全面、具体，可行性高，加4分；</w:t>
            </w:r>
          </w:p>
          <w:p w14:paraId="5731A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（2）方案内容较全面、有一定可行性，评审为良得2分；</w:t>
            </w:r>
          </w:p>
          <w:p w14:paraId="494A5693">
            <w:pPr>
              <w:pStyle w:val="6"/>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（3）方案全面性、可行性一般，加1分。</w:t>
            </w:r>
          </w:p>
          <w:p w14:paraId="0B4994D4">
            <w:pPr>
              <w:pStyle w:val="6"/>
              <w:keepNext w:val="0"/>
              <w:keepLines w:val="0"/>
              <w:suppressLineNumbers w:val="0"/>
              <w:spacing w:before="0" w:beforeAutospacing="0" w:after="0" w:afterAutospacing="0"/>
              <w:ind w:left="0" w:right="0"/>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未提供方案或提供的不符合或专家无法凭所提供材料判断是否得分的情况，一律作不得分处理。</w:t>
            </w:r>
          </w:p>
        </w:tc>
      </w:tr>
      <w:tr w14:paraId="1E01F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63AA60CB">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744C1167">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55" w:type="pct"/>
            <w:tcBorders>
              <w:top w:val="single" w:color="auto" w:sz="4" w:space="0"/>
              <w:left w:val="single" w:color="auto" w:sz="4" w:space="0"/>
              <w:bottom w:val="single" w:color="auto" w:sz="4" w:space="0"/>
              <w:right w:val="single" w:color="auto" w:sz="4" w:space="0"/>
            </w:tcBorders>
            <w:vAlign w:val="center"/>
          </w:tcPr>
          <w:p w14:paraId="05019C73">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项目重点难点分析、应对措施及相关的合理化建议</w:t>
            </w:r>
          </w:p>
        </w:tc>
        <w:tc>
          <w:tcPr>
            <w:tcW w:w="557" w:type="pct"/>
            <w:tcBorders>
              <w:top w:val="single" w:color="auto" w:sz="4" w:space="0"/>
              <w:left w:val="single" w:color="auto" w:sz="4" w:space="0"/>
              <w:bottom w:val="single" w:color="auto" w:sz="4" w:space="0"/>
              <w:right w:val="single" w:color="auto" w:sz="4" w:space="0"/>
            </w:tcBorders>
            <w:vAlign w:val="center"/>
          </w:tcPr>
          <w:p w14:paraId="007C4B87">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6F60536A">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1AF25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根据项目重点难点分析、应对措施及相关的合理化建议</w:t>
            </w:r>
            <w:r>
              <w:rPr>
                <w:rFonts w:hint="eastAsia" w:ascii="仿宋" w:hAnsi="仿宋" w:eastAsia="仿宋" w:cs="仿宋"/>
                <w:b w:val="0"/>
                <w:bCs/>
                <w:sz w:val="24"/>
                <w:szCs w:val="24"/>
                <w:lang w:eastAsia="zh-CN"/>
              </w:rPr>
              <w:t>、</w:t>
            </w:r>
            <w:r>
              <w:rPr>
                <w:rFonts w:hint="eastAsia" w:ascii="仿宋" w:hAnsi="仿宋" w:eastAsia="仿宋" w:cs="仿宋"/>
                <w:b w:val="0"/>
                <w:bCs w:val="0"/>
                <w:color w:val="auto"/>
                <w:sz w:val="24"/>
                <w:szCs w:val="24"/>
                <w:highlight w:val="none"/>
                <w:lang w:val="en-US" w:eastAsia="zh-CN"/>
              </w:rPr>
              <w:t xml:space="preserve">提出工作质量的先进、可行的具体方案有质量控制及操作计划的可行性。 </w:t>
            </w:r>
          </w:p>
          <w:p w14:paraId="25A7A9C2">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有</w:t>
            </w:r>
            <w:r>
              <w:rPr>
                <w:rFonts w:hint="eastAsia" w:ascii="仿宋" w:hAnsi="仿宋" w:eastAsia="仿宋" w:cs="仿宋"/>
                <w:b w:val="0"/>
                <w:bCs/>
                <w:sz w:val="24"/>
                <w:szCs w:val="24"/>
                <w:lang w:val="en-US" w:eastAsia="zh-CN"/>
              </w:rPr>
              <w:t>项目执行</w:t>
            </w:r>
            <w:r>
              <w:rPr>
                <w:rFonts w:hint="eastAsia" w:ascii="仿宋" w:hAnsi="仿宋" w:eastAsia="仿宋" w:cs="仿宋"/>
                <w:b w:val="0"/>
                <w:bCs/>
                <w:sz w:val="24"/>
                <w:szCs w:val="24"/>
              </w:rPr>
              <w:t>针对性重点分析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并提供相关分析方案的</w:t>
            </w:r>
            <w:r>
              <w:rPr>
                <w:rFonts w:hint="eastAsia" w:ascii="仿宋" w:hAnsi="仿宋" w:eastAsia="仿宋" w:cs="仿宋"/>
                <w:b w:val="0"/>
                <w:bCs/>
                <w:sz w:val="24"/>
                <w:szCs w:val="24"/>
              </w:rPr>
              <w:t>；</w:t>
            </w:r>
          </w:p>
          <w:p w14:paraId="544783F4">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有</w:t>
            </w:r>
            <w:r>
              <w:rPr>
                <w:rFonts w:hint="eastAsia" w:ascii="仿宋" w:hAnsi="仿宋" w:eastAsia="仿宋" w:cs="仿宋"/>
                <w:b w:val="0"/>
                <w:bCs/>
                <w:sz w:val="24"/>
                <w:szCs w:val="24"/>
                <w:lang w:val="en-US" w:eastAsia="zh-CN"/>
              </w:rPr>
              <w:t>项目执行</w:t>
            </w:r>
            <w:r>
              <w:rPr>
                <w:rFonts w:hint="eastAsia" w:ascii="仿宋" w:hAnsi="仿宋" w:eastAsia="仿宋" w:cs="仿宋"/>
                <w:b w:val="0"/>
                <w:bCs/>
                <w:sz w:val="24"/>
                <w:szCs w:val="24"/>
              </w:rPr>
              <w:t>针对性</w:t>
            </w:r>
            <w:r>
              <w:rPr>
                <w:rFonts w:hint="eastAsia" w:ascii="仿宋" w:hAnsi="仿宋" w:eastAsia="仿宋" w:cs="仿宋"/>
                <w:b w:val="0"/>
                <w:bCs/>
                <w:sz w:val="24"/>
                <w:szCs w:val="24"/>
                <w:lang w:val="en-US" w:eastAsia="zh-CN"/>
              </w:rPr>
              <w:t>难</w:t>
            </w:r>
            <w:r>
              <w:rPr>
                <w:rFonts w:hint="eastAsia" w:ascii="仿宋" w:hAnsi="仿宋" w:eastAsia="仿宋" w:cs="仿宋"/>
                <w:b w:val="0"/>
                <w:bCs/>
                <w:sz w:val="24"/>
                <w:szCs w:val="24"/>
              </w:rPr>
              <w:t>点分析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并提供相关分析方案的</w:t>
            </w:r>
            <w:r>
              <w:rPr>
                <w:rFonts w:hint="eastAsia" w:ascii="仿宋" w:hAnsi="仿宋" w:eastAsia="仿宋" w:cs="仿宋"/>
                <w:b w:val="0"/>
                <w:bCs/>
                <w:sz w:val="24"/>
                <w:szCs w:val="24"/>
              </w:rPr>
              <w:t>；</w:t>
            </w:r>
          </w:p>
          <w:p w14:paraId="2CC6C55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在重难点分析基础上，</w:t>
            </w:r>
            <w:r>
              <w:rPr>
                <w:rFonts w:hint="eastAsia" w:ascii="仿宋" w:hAnsi="仿宋" w:eastAsia="仿宋" w:cs="仿宋"/>
                <w:b w:val="0"/>
                <w:bCs/>
                <w:sz w:val="24"/>
                <w:szCs w:val="24"/>
                <w:lang w:val="en-US" w:eastAsia="zh-CN"/>
              </w:rPr>
              <w:t>有</w:t>
            </w:r>
            <w:r>
              <w:rPr>
                <w:rFonts w:hint="eastAsia" w:ascii="仿宋" w:hAnsi="仿宋" w:eastAsia="仿宋" w:cs="仿宋"/>
                <w:b w:val="0"/>
                <w:bCs/>
                <w:sz w:val="24"/>
                <w:szCs w:val="24"/>
              </w:rPr>
              <w:t>提出相关应对措施的</w:t>
            </w:r>
            <w:r>
              <w:rPr>
                <w:rFonts w:hint="eastAsia" w:ascii="仿宋" w:hAnsi="仿宋" w:eastAsia="仿宋" w:cs="仿宋"/>
                <w:b w:val="0"/>
                <w:bCs/>
                <w:sz w:val="24"/>
                <w:szCs w:val="24"/>
                <w:lang w:eastAsia="zh-CN"/>
              </w:rPr>
              <w:t>。</w:t>
            </w:r>
          </w:p>
          <w:p w14:paraId="763B86B4">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）评分依据：</w:t>
            </w:r>
          </w:p>
          <w:p w14:paraId="117CB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1.提供上述一项内容的得1分，最高3分，其他不得分。</w:t>
            </w:r>
          </w:p>
          <w:p w14:paraId="28BED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2.在此基础上，按照下列要求进行加分：</w:t>
            </w:r>
          </w:p>
          <w:p w14:paraId="25981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（1）方案内容全面、具体，可行性高，加4分；</w:t>
            </w:r>
          </w:p>
          <w:p w14:paraId="15C24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（2）方案内容较全面、有一定可行性，评审为良得2分；</w:t>
            </w:r>
          </w:p>
          <w:p w14:paraId="0B8F3520">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（3）方案全面性、可行性一般，加1分。</w:t>
            </w:r>
          </w:p>
          <w:p w14:paraId="7ABDE2E4">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未提供方案或提供的不符合或专家无法凭所提供材料判断是否得分的情况，一律作不得分处理。</w:t>
            </w:r>
          </w:p>
        </w:tc>
      </w:tr>
      <w:tr w14:paraId="0D433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2FF20EFE">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744F0EE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55" w:type="pct"/>
            <w:tcBorders>
              <w:top w:val="single" w:color="auto" w:sz="4" w:space="0"/>
              <w:left w:val="single" w:color="auto" w:sz="4" w:space="0"/>
              <w:bottom w:val="single" w:color="auto" w:sz="4" w:space="0"/>
              <w:right w:val="single" w:color="auto" w:sz="4" w:space="0"/>
            </w:tcBorders>
            <w:vAlign w:val="center"/>
          </w:tcPr>
          <w:p w14:paraId="688342EC">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拟派本项目的服务人数、服务人员素质</w:t>
            </w:r>
          </w:p>
        </w:tc>
        <w:tc>
          <w:tcPr>
            <w:tcW w:w="557" w:type="pct"/>
            <w:tcBorders>
              <w:top w:val="single" w:color="auto" w:sz="4" w:space="0"/>
              <w:left w:val="single" w:color="auto" w:sz="4" w:space="0"/>
              <w:bottom w:val="single" w:color="auto" w:sz="4" w:space="0"/>
              <w:right w:val="single" w:color="auto" w:sz="4" w:space="0"/>
            </w:tcBorders>
            <w:vAlign w:val="center"/>
          </w:tcPr>
          <w:p w14:paraId="1E41A39D">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2832406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（一）评分内容：</w:t>
            </w:r>
          </w:p>
          <w:p w14:paraId="0D04E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1.拟派本项目负责人（1名）：</w:t>
            </w:r>
          </w:p>
          <w:p w14:paraId="43FBC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（1）具有医疗行业</w:t>
            </w:r>
            <w:r>
              <w:rPr>
                <w:rFonts w:hint="eastAsia" w:ascii="仿宋" w:hAnsi="仿宋" w:eastAsia="仿宋" w:cs="仿宋"/>
                <w:b w:val="0"/>
                <w:bCs/>
                <w:kern w:val="2"/>
                <w:sz w:val="24"/>
                <w:szCs w:val="24"/>
                <w:highlight w:val="none"/>
                <w:lang w:val="en-US" w:eastAsia="zh-CN" w:bidi="ar-SA"/>
              </w:rPr>
              <w:t>年度财务/会计报表审计经验1次得1.5分，以此类推，本项最高分4.5分。</w:t>
            </w:r>
          </w:p>
          <w:p w14:paraId="7874A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（2）具有医疗行业</w:t>
            </w:r>
            <w:r>
              <w:rPr>
                <w:rFonts w:hint="eastAsia" w:ascii="仿宋" w:hAnsi="仿宋" w:eastAsia="仿宋" w:cs="仿宋"/>
                <w:b w:val="0"/>
                <w:bCs/>
                <w:kern w:val="2"/>
                <w:sz w:val="24"/>
                <w:szCs w:val="24"/>
                <w:highlight w:val="none"/>
                <w:lang w:val="en-US" w:eastAsia="zh-CN" w:bidi="ar-SA"/>
              </w:rPr>
              <w:t>内部控制评价经验1次，得1.5分，以此类推，本项最高分4.5分。</w:t>
            </w:r>
          </w:p>
          <w:p w14:paraId="03DD3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2.拟派本项目团队成员（不含项目负责人）：</w:t>
            </w:r>
          </w:p>
          <w:p w14:paraId="0AADE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（1）派3名及以上成员，得4分；派2名成员，得2分；派1名成员，不得分。</w:t>
            </w:r>
          </w:p>
          <w:p w14:paraId="363F6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（2）具备中级审计师或中级会计师及以上职称1人得1分；以此类推，本项最高3分。</w:t>
            </w:r>
          </w:p>
          <w:p w14:paraId="0BCED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（3）拟派成员中，有医疗行业</w:t>
            </w:r>
            <w:r>
              <w:rPr>
                <w:rFonts w:hint="eastAsia" w:ascii="仿宋" w:hAnsi="仿宋" w:eastAsia="仿宋" w:cs="仿宋"/>
                <w:b w:val="0"/>
                <w:bCs/>
                <w:kern w:val="2"/>
                <w:sz w:val="24"/>
                <w:szCs w:val="24"/>
                <w:highlight w:val="none"/>
                <w:lang w:val="en-US" w:eastAsia="zh-CN" w:bidi="ar-SA"/>
              </w:rPr>
              <w:t>年度</w:t>
            </w:r>
            <w:r>
              <w:rPr>
                <w:rFonts w:hint="eastAsia" w:ascii="仿宋" w:hAnsi="仿宋" w:eastAsia="仿宋" w:cs="仿宋"/>
                <w:bCs/>
                <w:sz w:val="24"/>
                <w:szCs w:val="24"/>
                <w:highlight w:val="none"/>
              </w:rPr>
              <w:t>财务</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rPr>
              <w:t>会计</w:t>
            </w:r>
            <w:r>
              <w:rPr>
                <w:rFonts w:hint="eastAsia" w:ascii="仿宋" w:hAnsi="仿宋" w:eastAsia="仿宋" w:cs="仿宋"/>
                <w:bCs/>
                <w:sz w:val="24"/>
                <w:szCs w:val="24"/>
                <w:highlight w:val="none"/>
                <w:lang w:val="en-US" w:eastAsia="zh-CN"/>
              </w:rPr>
              <w:t>报表</w:t>
            </w:r>
            <w:r>
              <w:rPr>
                <w:rFonts w:hint="eastAsia" w:ascii="仿宋" w:hAnsi="仿宋" w:eastAsia="仿宋" w:cs="仿宋"/>
                <w:b w:val="0"/>
                <w:bCs/>
                <w:kern w:val="2"/>
                <w:sz w:val="24"/>
                <w:szCs w:val="24"/>
                <w:highlight w:val="none"/>
                <w:lang w:val="en-US" w:eastAsia="zh-CN" w:bidi="ar-SA"/>
              </w:rPr>
              <w:t>审计或医疗行业</w:t>
            </w:r>
            <w:r>
              <w:rPr>
                <w:rFonts w:hint="eastAsia" w:ascii="仿宋" w:hAnsi="仿宋" w:eastAsia="仿宋" w:cs="仿宋"/>
                <w:b w:val="0"/>
                <w:bCs/>
                <w:kern w:val="2"/>
                <w:sz w:val="24"/>
                <w:szCs w:val="24"/>
                <w:highlight w:val="none"/>
                <w:lang w:val="en-US" w:eastAsia="zh-CN" w:bidi="ar-SA"/>
              </w:rPr>
              <w:t>内部控制评价经验1次，得1分，以此类推，本项最高4分。</w:t>
            </w:r>
          </w:p>
          <w:p w14:paraId="05CFDEF4">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w:t>
            </w:r>
            <w:r>
              <w:rPr>
                <w:rFonts w:hint="eastAsia" w:ascii="仿宋" w:hAnsi="仿宋" w:eastAsia="仿宋" w:cs="仿宋"/>
                <w:b/>
                <w:bCs/>
                <w:color w:val="000000"/>
                <w:sz w:val="24"/>
                <w:szCs w:val="24"/>
                <w:highlight w:val="none"/>
              </w:rPr>
              <w:t>依据</w:t>
            </w:r>
            <w:r>
              <w:rPr>
                <w:rFonts w:hint="eastAsia" w:ascii="仿宋" w:hAnsi="仿宋" w:eastAsia="仿宋" w:cs="仿宋"/>
                <w:b/>
                <w:bCs/>
                <w:sz w:val="24"/>
                <w:szCs w:val="24"/>
                <w:highlight w:val="none"/>
              </w:rPr>
              <w:t>：</w:t>
            </w:r>
          </w:p>
          <w:p w14:paraId="62A14A1F">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lang w:val="en-US" w:eastAsia="zh-CN"/>
              </w:rPr>
              <w:t>1.请提供上述人员投标人为其购买的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w:t>
            </w:r>
            <w:r>
              <w:rPr>
                <w:rFonts w:hint="eastAsia" w:ascii="仿宋" w:hAnsi="仿宋" w:eastAsia="仿宋" w:cs="仿宋"/>
                <w:b w:val="0"/>
                <w:bCs/>
                <w:sz w:val="24"/>
                <w:szCs w:val="24"/>
                <w:highlight w:val="none"/>
                <w:lang w:val="en-US" w:eastAsia="zh-CN"/>
              </w:rPr>
              <w:t>明；如为退休返聘人员提供退休证明和聘用合同。）</w:t>
            </w:r>
          </w:p>
          <w:p w14:paraId="5415106F">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2.提供人员的资质证书复印件或扫描件。</w:t>
            </w:r>
          </w:p>
          <w:p w14:paraId="5CBB0B3E">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3.</w:t>
            </w:r>
            <w:r>
              <w:rPr>
                <w:rFonts w:hint="eastAsia" w:ascii="仿宋" w:hAnsi="仿宋" w:eastAsia="仿宋" w:cs="仿宋"/>
                <w:bCs/>
                <w:sz w:val="24"/>
                <w:szCs w:val="24"/>
                <w:highlight w:val="none"/>
              </w:rPr>
              <w:t>提供</w:t>
            </w:r>
            <w:r>
              <w:rPr>
                <w:rFonts w:hint="eastAsia" w:ascii="仿宋" w:hAnsi="仿宋" w:eastAsia="仿宋" w:cs="仿宋"/>
                <w:bCs/>
                <w:sz w:val="24"/>
                <w:szCs w:val="24"/>
                <w:highlight w:val="none"/>
                <w:lang w:val="en-US" w:eastAsia="zh-CN"/>
              </w:rPr>
              <w:t>工作</w:t>
            </w:r>
            <w:r>
              <w:rPr>
                <w:rFonts w:hint="eastAsia" w:ascii="仿宋" w:hAnsi="仿宋" w:eastAsia="仿宋" w:cs="仿宋"/>
                <w:bCs/>
                <w:sz w:val="24"/>
                <w:szCs w:val="24"/>
                <w:highlight w:val="none"/>
              </w:rPr>
              <w:t>经验的相关证明材料（提供</w:t>
            </w:r>
            <w:r>
              <w:rPr>
                <w:rFonts w:hint="eastAsia" w:ascii="仿宋" w:hAnsi="仿宋" w:eastAsia="仿宋" w:cs="仿宋"/>
                <w:bCs/>
                <w:sz w:val="24"/>
                <w:szCs w:val="24"/>
                <w:highlight w:val="none"/>
                <w:lang w:val="en-US" w:eastAsia="zh-CN"/>
              </w:rPr>
              <w:t>项目</w:t>
            </w:r>
            <w:r>
              <w:rPr>
                <w:rFonts w:hint="eastAsia" w:ascii="仿宋" w:hAnsi="仿宋" w:eastAsia="仿宋" w:cs="仿宋"/>
                <w:bCs/>
                <w:sz w:val="24"/>
                <w:szCs w:val="24"/>
                <w:highlight w:val="none"/>
              </w:rPr>
              <w:t>业绩合同（合同关键页面应包括封面、服务内容、</w:t>
            </w:r>
            <w:r>
              <w:rPr>
                <w:rFonts w:hint="eastAsia" w:ascii="仿宋" w:hAnsi="仿宋" w:eastAsia="仿宋" w:cs="仿宋"/>
                <w:bCs/>
                <w:sz w:val="24"/>
                <w:szCs w:val="24"/>
                <w:highlight w:val="none"/>
                <w:lang w:val="en-US" w:eastAsia="zh-CN"/>
              </w:rPr>
              <w:t>人员</w:t>
            </w:r>
            <w:r>
              <w:rPr>
                <w:rFonts w:hint="eastAsia" w:ascii="仿宋" w:hAnsi="仿宋" w:eastAsia="仿宋" w:cs="仿宋"/>
                <w:bCs/>
                <w:sz w:val="24"/>
                <w:szCs w:val="24"/>
                <w:highlight w:val="none"/>
              </w:rPr>
              <w:t>名字、签订时间、盖章页等），如合同中未体现</w:t>
            </w:r>
            <w:r>
              <w:rPr>
                <w:rFonts w:hint="eastAsia" w:ascii="仿宋" w:hAnsi="仿宋" w:eastAsia="仿宋" w:cs="仿宋"/>
                <w:bCs/>
                <w:sz w:val="24"/>
                <w:szCs w:val="24"/>
                <w:highlight w:val="none"/>
                <w:lang w:val="en-US" w:eastAsia="zh-CN"/>
              </w:rPr>
              <w:t>人员</w:t>
            </w:r>
            <w:r>
              <w:rPr>
                <w:rFonts w:hint="eastAsia" w:ascii="仿宋" w:hAnsi="仿宋" w:eastAsia="仿宋" w:cs="仿宋"/>
                <w:bCs/>
                <w:sz w:val="24"/>
                <w:szCs w:val="24"/>
                <w:highlight w:val="none"/>
              </w:rPr>
              <w:t>姓名，需同时提供合同甲方出具的证明材料）</w:t>
            </w:r>
            <w:r>
              <w:rPr>
                <w:rFonts w:hint="eastAsia" w:ascii="仿宋" w:hAnsi="仿宋" w:eastAsia="仿宋" w:cs="仿宋"/>
                <w:bCs/>
                <w:sz w:val="24"/>
                <w:szCs w:val="24"/>
                <w:highlight w:val="none"/>
                <w:lang w:eastAsia="zh-CN"/>
              </w:rPr>
              <w:t>。</w:t>
            </w:r>
          </w:p>
          <w:p w14:paraId="4A917526">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4.以上资料均要求提供扫描件，原件备查。评分中出现无证明资料或专家无法凭所提供资料判断是否得分的情况，一律作不得分处理。</w:t>
            </w:r>
          </w:p>
        </w:tc>
      </w:tr>
      <w:tr w14:paraId="7356E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352" w:type="pct"/>
            <w:gridSpan w:val="3"/>
            <w:vMerge w:val="restart"/>
            <w:tcBorders>
              <w:top w:val="single" w:color="auto" w:sz="4" w:space="0"/>
              <w:left w:val="single" w:color="auto" w:sz="4" w:space="0"/>
              <w:bottom w:val="single" w:color="auto" w:sz="4" w:space="0"/>
              <w:right w:val="single" w:color="auto" w:sz="4" w:space="0"/>
            </w:tcBorders>
            <w:vAlign w:val="center"/>
          </w:tcPr>
          <w:p w14:paraId="031DCB4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1EDF404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02EE40D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25</w:t>
            </w:r>
          </w:p>
        </w:tc>
      </w:tr>
      <w:tr w14:paraId="4CEB6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077237F8">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49F855F2">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14:paraId="5C5B69B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7" w:type="pct"/>
            <w:tcBorders>
              <w:top w:val="single" w:color="auto" w:sz="4" w:space="0"/>
              <w:left w:val="single" w:color="auto" w:sz="4" w:space="0"/>
              <w:bottom w:val="single" w:color="auto" w:sz="4" w:space="0"/>
              <w:right w:val="single" w:color="auto" w:sz="4" w:space="0"/>
            </w:tcBorders>
            <w:vAlign w:val="center"/>
          </w:tcPr>
          <w:p w14:paraId="4A9BD4F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1F6A576F">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1A9B3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3C8C8288">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1BAAB5C5">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446C904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557" w:type="pct"/>
            <w:tcBorders>
              <w:top w:val="single" w:color="auto" w:sz="4" w:space="0"/>
              <w:left w:val="single" w:color="auto" w:sz="4" w:space="0"/>
              <w:bottom w:val="single" w:color="auto" w:sz="4" w:space="0"/>
              <w:right w:val="single" w:color="auto" w:sz="4" w:space="0"/>
            </w:tcBorders>
            <w:vAlign w:val="center"/>
          </w:tcPr>
          <w:p w14:paraId="31D39D7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default" w:ascii="仿宋" w:hAnsi="仿宋" w:eastAsia="仿宋" w:cs="仿宋"/>
                <w:sz w:val="24"/>
                <w:highlight w:val="none"/>
                <w:lang w:val="en-US" w:eastAsia="zh-CN"/>
              </w:rPr>
            </w:pPr>
            <w:r>
              <w:rPr>
                <w:rFonts w:hint="eastAsia" w:ascii="仿宋" w:hAnsi="仿宋" w:eastAsia="仿宋" w:cs="仿宋"/>
                <w:kern w:val="0"/>
                <w:sz w:val="24"/>
                <w:szCs w:val="24"/>
                <w:highlight w:val="none"/>
                <w:lang w:val="en-US" w:eastAsia="zh-CN" w:bidi="ar-SA"/>
              </w:rPr>
              <w:t>12</w:t>
            </w:r>
          </w:p>
        </w:tc>
        <w:tc>
          <w:tcPr>
            <w:tcW w:w="3222" w:type="pct"/>
            <w:gridSpan w:val="4"/>
            <w:tcBorders>
              <w:top w:val="single" w:color="auto" w:sz="4" w:space="0"/>
              <w:left w:val="single" w:color="auto" w:sz="4" w:space="0"/>
              <w:bottom w:val="single" w:color="auto" w:sz="4" w:space="0"/>
              <w:right w:val="single" w:color="auto" w:sz="4" w:space="0"/>
            </w:tcBorders>
            <w:vAlign w:val="top"/>
          </w:tcPr>
          <w:p w14:paraId="098C4CF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14:paraId="4F130AD9">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投标人提供2022年1月1日至本项目投标截止时间，以合同签订日期为准。注：长期续签合同只计算一个业绩。</w:t>
            </w:r>
          </w:p>
          <w:p w14:paraId="35A7F91D">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1.每提供一份</w:t>
            </w:r>
            <w:r>
              <w:rPr>
                <w:rFonts w:hint="eastAsia" w:ascii="仿宋" w:hAnsi="仿宋" w:eastAsia="仿宋" w:cs="仿宋"/>
                <w:sz w:val="24"/>
                <w:szCs w:val="24"/>
                <w:highlight w:val="none"/>
                <w:lang w:val="en-US" w:eastAsia="zh-CN"/>
              </w:rPr>
              <w:t>医疗行业</w:t>
            </w:r>
            <w:r>
              <w:rPr>
                <w:rFonts w:hint="eastAsia" w:ascii="仿宋" w:hAnsi="仿宋" w:eastAsia="仿宋" w:cs="仿宋"/>
                <w:sz w:val="24"/>
                <w:szCs w:val="24"/>
                <w:highlight w:val="none"/>
              </w:rPr>
              <w:t>年度财务</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会计报表审计业务合同，得2分；以此类推，本项最高6分。</w:t>
            </w:r>
          </w:p>
          <w:p w14:paraId="242DA4B1">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2.每提供一份</w:t>
            </w:r>
            <w:r>
              <w:rPr>
                <w:rFonts w:hint="eastAsia" w:ascii="仿宋" w:hAnsi="仿宋" w:eastAsia="仿宋" w:cs="仿宋"/>
                <w:sz w:val="24"/>
                <w:szCs w:val="24"/>
                <w:highlight w:val="none"/>
                <w:lang w:val="en-US" w:eastAsia="zh-CN"/>
              </w:rPr>
              <w:t>医疗行业</w:t>
            </w:r>
            <w:r>
              <w:rPr>
                <w:rFonts w:hint="eastAsia" w:ascii="仿宋" w:hAnsi="仿宋" w:eastAsia="仿宋" w:cs="仿宋"/>
                <w:sz w:val="24"/>
                <w:szCs w:val="24"/>
                <w:highlight w:val="none"/>
              </w:rPr>
              <w:t>内部控制评价业务合同，得2分，本项最高6分。</w:t>
            </w:r>
          </w:p>
          <w:p w14:paraId="5E3D523D">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以上累计最高得12分。</w:t>
            </w:r>
          </w:p>
          <w:p w14:paraId="26FF0C9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14:paraId="2B0808F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1.提供合同关键页（应包含但不限于合同签约主体名称、项目（合同）名称、服务内容、签订合同时间、签约主体公章等关键信息）。</w:t>
            </w:r>
          </w:p>
          <w:p w14:paraId="66AD956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35322257">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1C860EF9">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5" w:type="pct"/>
            <w:tcBorders>
              <w:top w:val="single" w:color="auto" w:sz="4" w:space="0"/>
              <w:left w:val="single" w:color="auto" w:sz="4" w:space="0"/>
              <w:bottom w:val="single" w:color="auto" w:sz="4" w:space="0"/>
              <w:right w:val="single" w:color="auto" w:sz="4" w:space="0"/>
            </w:tcBorders>
            <w:vAlign w:val="center"/>
          </w:tcPr>
          <w:p w14:paraId="0DA4D1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履约评价</w:t>
            </w:r>
          </w:p>
        </w:tc>
        <w:tc>
          <w:tcPr>
            <w:tcW w:w="557" w:type="pct"/>
            <w:tcBorders>
              <w:top w:val="single" w:color="auto" w:sz="4" w:space="0"/>
              <w:left w:val="single" w:color="auto" w:sz="4" w:space="0"/>
              <w:bottom w:val="single" w:color="auto" w:sz="4" w:space="0"/>
              <w:right w:val="single" w:color="auto" w:sz="4" w:space="0"/>
            </w:tcBorders>
            <w:vAlign w:val="center"/>
          </w:tcPr>
          <w:p w14:paraId="4158AD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445F2AB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 评分内容：</w:t>
            </w:r>
          </w:p>
          <w:p w14:paraId="5A5008A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在上述中有效的同类项目业绩中经采购单位出具的履约评价材料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履约评价结果为“优”或“优秀”或“满意”或者履约评价材料中优评价的，每提供1份得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同一个有效业绩只计算一个履约评价</w:t>
            </w:r>
            <w:r>
              <w:rPr>
                <w:rFonts w:hint="eastAsia" w:ascii="仿宋" w:hAnsi="仿宋" w:eastAsia="仿宋" w:cs="仿宋"/>
                <w:color w:val="000000"/>
                <w:sz w:val="24"/>
                <w:szCs w:val="24"/>
                <w:highlight w:val="none"/>
                <w:lang w:eastAsia="zh-CN"/>
              </w:rPr>
              <w:t>）</w:t>
            </w:r>
          </w:p>
          <w:p w14:paraId="1B5BF85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p>
          <w:p w14:paraId="53A54B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履约评价证明（加盖甲方公章或业务章）。</w:t>
            </w:r>
          </w:p>
          <w:p w14:paraId="444B42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以上资料均要求提供，原件备查。评分中出现无证明资料或专家无法凭所提供资料判断是否得分的情况，一律作不得分处理。</w:t>
            </w:r>
          </w:p>
        </w:tc>
      </w:tr>
      <w:tr w14:paraId="13D0F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3B38A6BA">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2CA7DF2">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555" w:type="pct"/>
            <w:tcBorders>
              <w:top w:val="single" w:color="auto" w:sz="4" w:space="0"/>
              <w:left w:val="single" w:color="auto" w:sz="4" w:space="0"/>
              <w:bottom w:val="single" w:color="auto" w:sz="4" w:space="0"/>
              <w:right w:val="single" w:color="auto" w:sz="4" w:space="0"/>
            </w:tcBorders>
            <w:vAlign w:val="center"/>
          </w:tcPr>
          <w:p w14:paraId="0F5A228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认证情况</w:t>
            </w:r>
          </w:p>
        </w:tc>
        <w:tc>
          <w:tcPr>
            <w:tcW w:w="557" w:type="pct"/>
            <w:tcBorders>
              <w:top w:val="single" w:color="auto" w:sz="4" w:space="0"/>
              <w:left w:val="single" w:color="auto" w:sz="4" w:space="0"/>
              <w:bottom w:val="single" w:color="auto" w:sz="4" w:space="0"/>
              <w:right w:val="single" w:color="auto" w:sz="4" w:space="0"/>
            </w:tcBorders>
            <w:vAlign w:val="center"/>
          </w:tcPr>
          <w:p w14:paraId="6311F9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037046CA">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评分内容：</w:t>
            </w:r>
          </w:p>
          <w:p w14:paraId="333459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投标人具有质量管理体系认证的得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p>
          <w:p w14:paraId="1B9DA8E2">
            <w:pPr>
              <w:pStyle w:val="1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highlight w:val="none"/>
              </w:rPr>
              <w:t>备注：如投标人距本项目开标之日的注册成立时间不足3个月，且未取得以上认证证书的，可提供承诺函【格式自拟</w:t>
            </w:r>
            <w:r>
              <w:rPr>
                <w:rFonts w:hint="eastAsia" w:ascii="仿宋" w:hAnsi="仿宋" w:eastAsia="仿宋" w:cs="仿宋"/>
                <w:color w:val="000000"/>
                <w:highlight w:val="none"/>
                <w:lang w:val="en-US" w:eastAsia="zh-CN"/>
              </w:rPr>
              <w:t>并加盖公章</w:t>
            </w:r>
            <w:r>
              <w:rPr>
                <w:rFonts w:hint="eastAsia" w:ascii="仿宋" w:hAnsi="仿宋" w:eastAsia="仿宋" w:cs="仿宋"/>
                <w:color w:val="000000"/>
                <w:highlight w:val="none"/>
              </w:rPr>
              <w:t>，至少包含中标（成交）后4个月内取得质量管理体系认证证书等内容】。评审委员会根据承诺内容中的认证证书情况评分。</w:t>
            </w:r>
          </w:p>
          <w:p w14:paraId="14D3DA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r>
              <w:rPr>
                <w:rFonts w:hint="eastAsia" w:ascii="仿宋" w:hAnsi="仿宋" w:eastAsia="仿宋" w:cs="仿宋"/>
                <w:color w:val="000000"/>
                <w:sz w:val="24"/>
                <w:szCs w:val="24"/>
                <w:highlight w:val="none"/>
              </w:rPr>
              <w:t> </w:t>
            </w:r>
          </w:p>
          <w:p w14:paraId="092E13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提供以下证明材料：</w:t>
            </w:r>
          </w:p>
          <w:p w14:paraId="4797A10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1.有效的认证证书，如无法证明证书在有效期内的，不得分；</w:t>
            </w:r>
          </w:p>
          <w:p w14:paraId="16E34F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2.全国认证认可信息公共服务平台（http://cx.cnca.cn）认证信息查询截图（截图需显示证书状态为有效），未按要求提供或提供不清晰导致专家无法判断的，不得分。</w:t>
            </w:r>
          </w:p>
        </w:tc>
      </w:tr>
      <w:tr w14:paraId="7B39D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6" w:hRule="atLeast"/>
          <w:tblCellSpacing w:w="0" w:type="dxa"/>
          <w:jc w:val="center"/>
        </w:trPr>
        <w:tc>
          <w:tcPr>
            <w:tcW w:w="352" w:type="pct"/>
            <w:gridSpan w:val="3"/>
            <w:vMerge w:val="continue"/>
            <w:tcBorders>
              <w:top w:val="single" w:color="auto" w:sz="4" w:space="0"/>
              <w:left w:val="single" w:color="auto" w:sz="4" w:space="0"/>
              <w:bottom w:val="single" w:color="auto" w:sz="4" w:space="0"/>
              <w:right w:val="single" w:color="auto" w:sz="4" w:space="0"/>
            </w:tcBorders>
            <w:vAlign w:val="center"/>
          </w:tcPr>
          <w:p w14:paraId="4A6147FE">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41AEFE96">
            <w:pPr>
              <w:pStyle w:val="43"/>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555" w:type="pct"/>
            <w:tcBorders>
              <w:top w:val="single" w:color="auto" w:sz="4" w:space="0"/>
              <w:left w:val="single" w:color="auto" w:sz="4" w:space="0"/>
              <w:bottom w:val="single" w:color="auto" w:sz="4" w:space="0"/>
              <w:right w:val="single" w:color="auto" w:sz="4" w:space="0"/>
            </w:tcBorders>
            <w:vAlign w:val="center"/>
          </w:tcPr>
          <w:p w14:paraId="7766C2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557" w:type="pct"/>
            <w:tcBorders>
              <w:top w:val="single" w:color="auto" w:sz="4" w:space="0"/>
              <w:left w:val="single" w:color="auto" w:sz="4" w:space="0"/>
              <w:bottom w:val="single" w:color="auto" w:sz="4" w:space="0"/>
              <w:right w:val="single" w:color="auto" w:sz="4" w:space="0"/>
            </w:tcBorders>
            <w:vAlign w:val="center"/>
          </w:tcPr>
          <w:p w14:paraId="59B3435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2" w:type="pct"/>
            <w:gridSpan w:val="4"/>
            <w:tcBorders>
              <w:top w:val="single" w:color="auto" w:sz="4" w:space="0"/>
              <w:left w:val="single" w:color="auto" w:sz="4" w:space="0"/>
              <w:bottom w:val="single" w:color="auto" w:sz="4" w:space="0"/>
              <w:right w:val="single" w:color="auto" w:sz="4" w:space="0"/>
            </w:tcBorders>
            <w:vAlign w:val="center"/>
          </w:tcPr>
          <w:p w14:paraId="38A3A2F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评分内容：</w:t>
            </w:r>
            <w:r>
              <w:rPr>
                <w:rFonts w:hint="eastAsia" w:ascii="仿宋" w:hAnsi="仿宋" w:eastAsia="仿宋" w:cs="仿宋"/>
                <w:color w:val="auto"/>
                <w:sz w:val="24"/>
                <w:szCs w:val="24"/>
                <w:highlight w:val="none"/>
              </w:rPr>
              <w:t xml:space="preserve">投标人在参与政府采购活动中存在诚信相关问题且在主管部门相关处理措施实施期限内的，本项不得分，否则得满分。 </w:t>
            </w:r>
          </w:p>
          <w:p w14:paraId="1778BD8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（二）评分依据：</w:t>
            </w:r>
            <w:r>
              <w:rPr>
                <w:rFonts w:hint="eastAsia" w:ascii="仿宋" w:hAnsi="仿宋" w:eastAsia="仿宋" w:cs="仿宋"/>
                <w:color w:val="auto"/>
                <w:sz w:val="24"/>
                <w:szCs w:val="24"/>
                <w:highlight w:val="none"/>
              </w:rPr>
              <w:t>投标人无需提供任何证明材料，由工作人员向评审委员会提供相关信息。</w:t>
            </w:r>
          </w:p>
        </w:tc>
      </w:tr>
    </w:tbl>
    <w:p w14:paraId="138A983C">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7384F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1F3D828">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C9AA12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3043DFF0">
      <w:pPr>
        <w:widowControl w:val="0"/>
        <w:numPr>
          <w:ilvl w:val="0"/>
          <w:numId w:val="3"/>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6DAF9856">
      <w:pPr>
        <w:widowControl w:val="0"/>
        <w:numPr>
          <w:ilvl w:val="0"/>
          <w:numId w:val="3"/>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762237E2">
      <w:pPr>
        <w:numPr>
          <w:ilvl w:val="0"/>
          <w:numId w:val="4"/>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8A50D20">
      <w:pPr>
        <w:numPr>
          <w:ilvl w:val="0"/>
          <w:numId w:val="4"/>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2E167D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489699B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7DA3D3CD">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E37D18C">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08E57BD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（一）具有独立承担民事责任的能力（提供营业执照或事业单位法人证书等证明资料扫描件，原件备查，分支机构参与投标的，须同时提供总公司授权文件且授权书载明其民事责任由总公司承担）；</w:t>
      </w:r>
    </w:p>
    <w:p w14:paraId="572D4D44">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（二）本项目不接受联合体投标（由供应商作出声明，格式自拟）；</w:t>
      </w:r>
    </w:p>
    <w:p w14:paraId="08E0FD7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4B7EE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DC9DD32">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20DDCAD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5946F288">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F767C9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44CBD93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投标人具有国家主管部门颁发的《会计师事务所执业证书》（①提供在有效期内的证书扫描件或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14:paraId="6437C1ED">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176ACEA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2B59543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2FF9E3D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5147B41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DE86A3E">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767ED37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0722B67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019FCF9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66B2D540">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38E8A4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31496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032AB4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4041720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7FE7C37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7983CC5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18BE4F0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62EBA06A">
      <w:pPr>
        <w:numPr>
          <w:ilvl w:val="0"/>
          <w:numId w:val="5"/>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C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4AF6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69D6A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6A321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53AC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3A82E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14:paraId="6DE15B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14:paraId="309A63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F31734">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B40AF03">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14:paraId="4D2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281935D">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4526E649">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70B18BB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381738AA">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0A5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4B41244">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557E1C4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LGZXYYZBB20250611-1</w:t>
            </w:r>
          </w:p>
        </w:tc>
        <w:tc>
          <w:tcPr>
            <w:tcW w:w="1848" w:type="pct"/>
            <w:vAlign w:val="center"/>
          </w:tcPr>
          <w:p w14:paraId="3778F94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深圳市龙岗中心医院2024年度审计服务项目</w:t>
            </w:r>
          </w:p>
        </w:tc>
        <w:tc>
          <w:tcPr>
            <w:tcW w:w="1378" w:type="pct"/>
            <w:vAlign w:val="center"/>
          </w:tcPr>
          <w:p w14:paraId="2EF0E3A2">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170000.00</w:t>
            </w:r>
          </w:p>
        </w:tc>
      </w:tr>
    </w:tbl>
    <w:p w14:paraId="04DEB64B">
      <w:pPr>
        <w:pStyle w:val="2"/>
        <w:spacing w:before="120" w:beforeLines="50" w:after="120" w:afterLines="50"/>
        <w:jc w:val="both"/>
        <w:rPr>
          <w:rFonts w:hint="eastAsia" w:ascii="仿宋" w:hAnsi="仿宋" w:eastAsia="仿宋" w:cs="仿宋"/>
          <w:color w:val="auto"/>
          <w:szCs w:val="24"/>
          <w:highlight w:val="none"/>
        </w:rPr>
      </w:pPr>
    </w:p>
    <w:p w14:paraId="192F6F5F">
      <w:pPr>
        <w:pStyle w:val="2"/>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14:paraId="23072777">
      <w:pPr>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根据《中华人民共和国审计法》《事业单位会计准则》《医院财务制度》（财社</w:t>
      </w:r>
      <w:r>
        <w:rPr>
          <w:rFonts w:hint="eastAsia" w:ascii="仿宋" w:hAnsi="仿宋" w:eastAsia="仿宋" w:cs="仿宋"/>
          <w:color w:val="auto"/>
          <w:sz w:val="24"/>
          <w:highlight w:val="none"/>
          <w:lang w:eastAsia="zh-CN"/>
        </w:rPr>
        <w:t>〔2010〕306号</w:t>
      </w:r>
      <w:r>
        <w:rPr>
          <w:rFonts w:hint="eastAsia" w:ascii="仿宋" w:hAnsi="仿宋" w:eastAsia="仿宋" w:cs="仿宋"/>
          <w:color w:val="auto"/>
          <w:sz w:val="24"/>
          <w:highlight w:val="none"/>
        </w:rPr>
        <w:t>）、《医院会计制度》《行政事业单位内部控制规范（试行）》《关于印发公立医院内部控制管理办法的通知》（国卫财务发</w:t>
      </w:r>
      <w:r>
        <w:rPr>
          <w:rFonts w:hint="eastAsia" w:ascii="仿宋" w:hAnsi="仿宋" w:eastAsia="仿宋" w:cs="仿宋"/>
          <w:color w:val="auto"/>
          <w:sz w:val="24"/>
          <w:highlight w:val="none"/>
          <w:lang w:eastAsia="zh-CN"/>
        </w:rPr>
        <w:t>〔2020〕31号</w:t>
      </w:r>
      <w:r>
        <w:rPr>
          <w:rFonts w:hint="eastAsia" w:ascii="仿宋" w:hAnsi="仿宋" w:eastAsia="仿宋" w:cs="仿宋"/>
          <w:color w:val="auto"/>
          <w:sz w:val="24"/>
          <w:highlight w:val="none"/>
        </w:rPr>
        <w:t>）以及国家其他有关法律法</w:t>
      </w:r>
      <w:r>
        <w:rPr>
          <w:rFonts w:hint="eastAsia" w:ascii="仿宋" w:hAnsi="仿宋" w:eastAsia="仿宋" w:cs="仿宋"/>
          <w:color w:val="auto"/>
          <w:sz w:val="24"/>
          <w:highlight w:val="none"/>
          <w:lang w:eastAsia="zh-CN"/>
        </w:rPr>
        <w:t>规的</w:t>
      </w:r>
      <w:r>
        <w:rPr>
          <w:rFonts w:hint="eastAsia" w:ascii="仿宋" w:hAnsi="仿宋" w:eastAsia="仿宋" w:cs="仿宋"/>
          <w:color w:val="auto"/>
          <w:sz w:val="24"/>
          <w:highlight w:val="none"/>
        </w:rPr>
        <w:t>规定，为医院提供本次审计服务（2024年度会计报表审计、2024年度内部控制评价项目）。</w:t>
      </w:r>
    </w:p>
    <w:p w14:paraId="49D77D8B">
      <w:pPr>
        <w:pStyle w:val="2"/>
        <w:spacing w:before="120" w:beforeLines="50" w:after="120" w:afterLines="50"/>
        <w:jc w:val="both"/>
        <w:rPr>
          <w:rFonts w:hint="eastAsia" w:ascii="仿宋" w:hAnsi="仿宋" w:eastAsia="仿宋" w:cs="仿宋"/>
          <w:szCs w:val="24"/>
          <w:highlight w:val="none"/>
        </w:rPr>
      </w:pPr>
    </w:p>
    <w:p w14:paraId="61966CC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三、</w:t>
      </w:r>
      <w:bookmarkStart w:id="1" w:name="_Hlk72073432"/>
      <w:r>
        <w:rPr>
          <w:rFonts w:hint="eastAsia" w:ascii="仿宋" w:hAnsi="仿宋" w:eastAsia="仿宋" w:cs="仿宋"/>
          <w:szCs w:val="24"/>
          <w:highlight w:val="none"/>
        </w:rPr>
        <w:t>服务需求明细</w:t>
      </w:r>
      <w:bookmarkEnd w:id="1"/>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63"/>
        <w:gridCol w:w="2154"/>
        <w:gridCol w:w="709"/>
        <w:gridCol w:w="750"/>
        <w:gridCol w:w="1323"/>
        <w:gridCol w:w="1370"/>
      </w:tblGrid>
      <w:tr w14:paraId="57F4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1" w:type="pct"/>
            <w:vAlign w:val="center"/>
          </w:tcPr>
          <w:p w14:paraId="3A41F345">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976" w:type="pct"/>
            <w:vAlign w:val="center"/>
          </w:tcPr>
          <w:p w14:paraId="6A9B4D89">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264" w:type="pct"/>
            <w:vAlign w:val="center"/>
          </w:tcPr>
          <w:p w14:paraId="4BF2E778">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416" w:type="pct"/>
            <w:vAlign w:val="center"/>
          </w:tcPr>
          <w:p w14:paraId="77435B93">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440" w:type="pct"/>
            <w:vAlign w:val="center"/>
          </w:tcPr>
          <w:p w14:paraId="46F19E0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776" w:type="pct"/>
            <w:vAlign w:val="center"/>
          </w:tcPr>
          <w:p w14:paraId="6EE36FAE">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最高单价限价（元）</w:t>
            </w:r>
          </w:p>
        </w:tc>
        <w:tc>
          <w:tcPr>
            <w:tcW w:w="804" w:type="pct"/>
            <w:vAlign w:val="center"/>
          </w:tcPr>
          <w:p w14:paraId="2A6F854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合价（元）</w:t>
            </w:r>
          </w:p>
        </w:tc>
      </w:tr>
      <w:tr w14:paraId="5695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1" w:type="pct"/>
            <w:vAlign w:val="center"/>
          </w:tcPr>
          <w:p w14:paraId="1B9CDA5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976" w:type="pct"/>
            <w:vMerge w:val="restart"/>
            <w:vAlign w:val="center"/>
          </w:tcPr>
          <w:p w14:paraId="1D6D14DF">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LGZXYYZBB20250611-1</w:t>
            </w:r>
          </w:p>
        </w:tc>
        <w:tc>
          <w:tcPr>
            <w:tcW w:w="1264" w:type="pct"/>
            <w:vAlign w:val="center"/>
          </w:tcPr>
          <w:p w14:paraId="54577C39">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2024年度会计报表审计项目</w:t>
            </w:r>
          </w:p>
        </w:tc>
        <w:tc>
          <w:tcPr>
            <w:tcW w:w="416" w:type="pct"/>
            <w:vAlign w:val="center"/>
          </w:tcPr>
          <w:p w14:paraId="26286CC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440" w:type="pct"/>
            <w:vAlign w:val="center"/>
          </w:tcPr>
          <w:p w14:paraId="55B3ED4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776" w:type="pct"/>
            <w:vAlign w:val="center"/>
          </w:tcPr>
          <w:p w14:paraId="3EDD8239">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110000.00</w:t>
            </w:r>
          </w:p>
        </w:tc>
        <w:tc>
          <w:tcPr>
            <w:tcW w:w="804" w:type="pct"/>
            <w:vAlign w:val="center"/>
          </w:tcPr>
          <w:p w14:paraId="1D1FEDA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110000.00</w:t>
            </w:r>
          </w:p>
        </w:tc>
      </w:tr>
      <w:tr w14:paraId="55BB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1" w:type="pct"/>
            <w:vAlign w:val="center"/>
          </w:tcPr>
          <w:p w14:paraId="12794D4F">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976" w:type="pct"/>
            <w:vMerge w:val="continue"/>
            <w:vAlign w:val="center"/>
          </w:tcPr>
          <w:p w14:paraId="2E6D4D6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1264" w:type="pct"/>
          </w:tcPr>
          <w:p w14:paraId="0B432D5B">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2024年度内部控制评价项目</w:t>
            </w:r>
          </w:p>
        </w:tc>
        <w:tc>
          <w:tcPr>
            <w:tcW w:w="416" w:type="pct"/>
            <w:vAlign w:val="center"/>
          </w:tcPr>
          <w:p w14:paraId="0895AB65">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440" w:type="pct"/>
            <w:vAlign w:val="center"/>
          </w:tcPr>
          <w:p w14:paraId="455173EB">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776" w:type="pct"/>
            <w:vAlign w:val="center"/>
          </w:tcPr>
          <w:p w14:paraId="0ED51168">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60000.00</w:t>
            </w:r>
          </w:p>
        </w:tc>
        <w:tc>
          <w:tcPr>
            <w:tcW w:w="804" w:type="pct"/>
            <w:vAlign w:val="center"/>
          </w:tcPr>
          <w:p w14:paraId="465CBDC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60000.00</w:t>
            </w:r>
          </w:p>
        </w:tc>
      </w:tr>
      <w:tr w14:paraId="0083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21" w:type="pct"/>
            <w:vAlign w:val="center"/>
          </w:tcPr>
          <w:p w14:paraId="6218518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4678" w:type="pct"/>
            <w:gridSpan w:val="6"/>
            <w:vAlign w:val="center"/>
          </w:tcPr>
          <w:p w14:paraId="4755131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合计：</w:t>
            </w:r>
            <w:r>
              <w:rPr>
                <w:rFonts w:hint="eastAsia" w:ascii="仿宋" w:hAnsi="仿宋" w:eastAsia="仿宋" w:cs="仿宋"/>
                <w:bCs/>
                <w:color w:val="auto"/>
                <w:sz w:val="24"/>
                <w:szCs w:val="24"/>
                <w:highlight w:val="none"/>
                <w:lang w:val="en-US" w:eastAsia="zh-CN"/>
              </w:rPr>
              <w:t>170000.00</w:t>
            </w:r>
            <w:r>
              <w:rPr>
                <w:rFonts w:hint="eastAsia" w:ascii="仿宋" w:hAnsi="仿宋" w:eastAsia="仿宋" w:cs="仿宋"/>
                <w:bCs/>
                <w:sz w:val="24"/>
                <w:szCs w:val="24"/>
                <w:highlight w:val="none"/>
                <w:lang w:val="en-US" w:eastAsia="zh-CN"/>
              </w:rPr>
              <w:t>元</w:t>
            </w:r>
          </w:p>
        </w:tc>
      </w:tr>
    </w:tbl>
    <w:p w14:paraId="22E56C5E">
      <w:pPr>
        <w:pStyle w:val="2"/>
        <w:spacing w:before="120" w:beforeLines="50" w:after="120" w:afterLines="50"/>
        <w:rPr>
          <w:rFonts w:hint="eastAsia" w:ascii="仿宋" w:hAnsi="仿宋" w:eastAsia="仿宋" w:cs="仿宋"/>
          <w:szCs w:val="24"/>
          <w:highlight w:val="none"/>
        </w:rPr>
      </w:pPr>
    </w:p>
    <w:p w14:paraId="5F4060A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四、实质性条款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14:paraId="409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6C08B95F">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6A0A20EB">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53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2CF81AC0">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center"/>
          </w:tcPr>
          <w:p w14:paraId="6119C364">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lang w:eastAsia="zh-CN"/>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kern w:val="0"/>
                <w:sz w:val="24"/>
                <w:szCs w:val="24"/>
                <w:highlight w:val="none"/>
              </w:rPr>
              <w:t>项目负责人</w:t>
            </w:r>
            <w:r>
              <w:rPr>
                <w:rFonts w:hint="eastAsia" w:ascii="仿宋" w:hAnsi="仿宋" w:eastAsia="仿宋" w:cs="仿宋"/>
                <w:kern w:val="0"/>
                <w:sz w:val="24"/>
                <w:szCs w:val="24"/>
                <w:highlight w:val="none"/>
                <w:lang w:eastAsia="zh-CN"/>
              </w:rPr>
              <w:t>：</w:t>
            </w:r>
          </w:p>
          <w:p w14:paraId="498502DC">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1.人员数量：1人；</w:t>
            </w:r>
          </w:p>
          <w:p w14:paraId="0673CDA7">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2.项目负责人具有注册会计师证书（提供有效的证书并加盖公章）。</w:t>
            </w:r>
          </w:p>
          <w:p w14:paraId="3D8CFAAE">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3.合同签订后提供项目组成员分工名单，经采购人认可。项目组人员在服务期内不得调整更换，如因特殊情况确需调整更换，需经采购人同意后再作变更。</w:t>
            </w:r>
          </w:p>
        </w:tc>
      </w:tr>
      <w:tr w14:paraId="1CC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3A3AA352">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center"/>
          </w:tcPr>
          <w:p w14:paraId="6C594CB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团队成员（项目负责人除外）</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合同签订后提供项目组成员分工名单，经采购人认可。项目组人员在服务期内不得调整更换，如因特殊情况确需调整更换，需经采购人同意后再作变更。</w:t>
            </w:r>
          </w:p>
        </w:tc>
      </w:tr>
      <w:tr w14:paraId="6F63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72E903AD">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center"/>
          </w:tcPr>
          <w:p w14:paraId="67034462">
            <w:pPr>
              <w:keepNext w:val="0"/>
              <w:keepLines w:val="0"/>
              <w:suppressLineNumbers w:val="0"/>
              <w:spacing w:before="0" w:beforeAutospacing="0" w:after="0" w:afterAutospacing="0"/>
              <w:ind w:left="0" w:right="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★服务期限</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合同签订之日起，中标人完成审计服务项目，出具审计报告，并经采购人验收合格后终止；服务期限预计6个月，具体以实际验收合格之日终止。</w:t>
            </w:r>
          </w:p>
        </w:tc>
      </w:tr>
    </w:tbl>
    <w:p w14:paraId="50966CAD">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3E9BF90B">
      <w:pPr>
        <w:rPr>
          <w:rFonts w:hint="eastAsia" w:ascii="仿宋" w:hAnsi="仿宋" w:eastAsia="仿宋" w:cs="仿宋"/>
          <w:b/>
          <w:bCs/>
          <w:sz w:val="24"/>
          <w:highlight w:val="none"/>
        </w:rPr>
      </w:pPr>
    </w:p>
    <w:p w14:paraId="31358341">
      <w:pPr>
        <w:jc w:val="left"/>
        <w:outlineLvl w:val="0"/>
        <w:rPr>
          <w:rFonts w:hint="eastAsia" w:ascii="仿宋" w:hAnsi="仿宋" w:eastAsia="仿宋" w:cs="仿宋"/>
          <w:b/>
          <w:bCs w:val="0"/>
          <w:kern w:val="0"/>
          <w:sz w:val="24"/>
          <w:szCs w:val="24"/>
          <w:highlight w:val="none"/>
          <w:lang w:val="en-US" w:eastAsia="zh-CN" w:bidi="ar-SA"/>
        </w:rPr>
      </w:pPr>
    </w:p>
    <w:p w14:paraId="749DDA48">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五、技术要求</w:t>
      </w:r>
    </w:p>
    <w:p w14:paraId="45807D56">
      <w:pPr>
        <w:spacing w:line="500" w:lineRule="exact"/>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（一）服务需求（</w:t>
      </w:r>
      <w:r>
        <w:rPr>
          <w:rFonts w:hint="eastAsia" w:ascii="仿宋" w:hAnsi="仿宋" w:eastAsia="仿宋" w:cs="仿宋"/>
          <w:b/>
          <w:kern w:val="0"/>
          <w:sz w:val="24"/>
          <w:szCs w:val="24"/>
          <w:highlight w:val="none"/>
        </w:rPr>
        <w:t>无需投标人响应，为必须满足条款，否则视为投标无效</w:t>
      </w:r>
      <w:r>
        <w:rPr>
          <w:rFonts w:hint="eastAsia" w:ascii="仿宋" w:hAnsi="仿宋" w:eastAsia="仿宋" w:cs="仿宋"/>
          <w:b/>
          <w:bCs w:val="0"/>
          <w:kern w:val="0"/>
          <w:sz w:val="24"/>
          <w:szCs w:val="24"/>
          <w:highlight w:val="none"/>
          <w:lang w:val="en-US" w:eastAsia="zh-CN" w:bidi="ar-SA"/>
        </w:rPr>
        <w:t>）</w:t>
      </w:r>
    </w:p>
    <w:p w14:paraId="4CDF865D">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1.采购人将与中标人签订合同，并要求对上述两个项目（会计报表审计项目、内部控制评价项目）分别出具审计报告。</w:t>
      </w:r>
    </w:p>
    <w:p w14:paraId="153E819A">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2.在约定的时间内，出具的审计报告，必须符合《深圳市财政局关于规范使用会计师事务所业务报告的通知》（深财会〔2019〕56号）相关规定，并保证审计报告的质量。</w:t>
      </w:r>
    </w:p>
    <w:p w14:paraId="40B80AC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由采购人收集的、开发的、整理的、复制的、研究的和准备的与本合同项下工作有关的所有资料在提供给中标人时，均被视为保密的，不得泄露给除采购人或其指定的代表之外的任何人、企业或公司，不管本合同因何种原因终止，本条款一直约束中标人；</w:t>
      </w:r>
    </w:p>
    <w:p w14:paraId="3EA598B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4.中标人在履行合同过程中所获得或接触到的任何内部数据资料，未经采购人同意，不得向第三方透露；</w:t>
      </w:r>
    </w:p>
    <w:p w14:paraId="7BE51F6B">
      <w:pPr>
        <w:widowControl/>
        <w:ind w:firstLine="480" w:firstLineChars="200"/>
        <w:rPr>
          <w:rFonts w:hint="eastAsia" w:ascii="仿宋" w:hAnsi="仿宋" w:eastAsia="仿宋" w:cs="仿宋"/>
          <w:b/>
          <w:kern w:val="0"/>
          <w:sz w:val="24"/>
          <w:highlight w:val="none"/>
        </w:rPr>
      </w:pPr>
      <w:r>
        <w:rPr>
          <w:rFonts w:hint="eastAsia" w:ascii="仿宋" w:hAnsi="仿宋" w:eastAsia="仿宋" w:cs="仿宋"/>
          <w:color w:val="000000"/>
          <w:kern w:val="0"/>
          <w:sz w:val="24"/>
          <w:szCs w:val="24"/>
          <w:highlight w:val="none"/>
          <w:lang w:val="en-US" w:eastAsia="zh-CN"/>
        </w:rPr>
        <w:t>5.中标人实施项目的一切程序都应符合国家安全、保密的有关规定和标准。</w:t>
      </w:r>
    </w:p>
    <w:p w14:paraId="5AED0B61">
      <w:pPr>
        <w:widowControl/>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二</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人员要求</w:t>
      </w:r>
    </w:p>
    <w:tbl>
      <w:tblPr>
        <w:tblStyle w:val="19"/>
        <w:tblW w:w="4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470"/>
        <w:gridCol w:w="2944"/>
        <w:gridCol w:w="2245"/>
      </w:tblGrid>
      <w:tr w14:paraId="4A67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2" w:type="pct"/>
            <w:vAlign w:val="center"/>
          </w:tcPr>
          <w:p w14:paraId="45F14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986" w:type="pct"/>
            <w:vAlign w:val="center"/>
          </w:tcPr>
          <w:p w14:paraId="317F8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w:t>
            </w:r>
          </w:p>
        </w:tc>
        <w:tc>
          <w:tcPr>
            <w:tcW w:w="1975" w:type="pct"/>
            <w:vAlign w:val="center"/>
          </w:tcPr>
          <w:p w14:paraId="268DC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w:t>
            </w:r>
          </w:p>
        </w:tc>
        <w:tc>
          <w:tcPr>
            <w:tcW w:w="1506" w:type="pct"/>
            <w:vAlign w:val="center"/>
          </w:tcPr>
          <w:p w14:paraId="59D0C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人员可偏离条件</w:t>
            </w:r>
          </w:p>
        </w:tc>
      </w:tr>
      <w:tr w14:paraId="57D2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32" w:type="pct"/>
            <w:vAlign w:val="center"/>
          </w:tcPr>
          <w:p w14:paraId="3E75F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986" w:type="pct"/>
            <w:vAlign w:val="center"/>
          </w:tcPr>
          <w:p w14:paraId="084E0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b/>
                <w:kern w:val="0"/>
                <w:sz w:val="24"/>
                <w:highlight w:val="none"/>
              </w:rPr>
              <w:t>项目负责人</w:t>
            </w:r>
          </w:p>
        </w:tc>
        <w:tc>
          <w:tcPr>
            <w:tcW w:w="1975" w:type="pct"/>
            <w:vAlign w:val="center"/>
          </w:tcPr>
          <w:p w14:paraId="3F480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1.人员数量：1人；</w:t>
            </w:r>
          </w:p>
          <w:p w14:paraId="6A77A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2.项目负责人具有注册会计师证书（提供有效的证书并加盖公章）。</w:t>
            </w:r>
          </w:p>
          <w:p w14:paraId="4EDF4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3.合同签订后提供项目组成员分工名单，经采购人认可。项目组人员在服务期内不得调整更换，如因特殊情况确需调整更换，需经采购人同意后再作变更。</w:t>
            </w:r>
          </w:p>
        </w:tc>
        <w:tc>
          <w:tcPr>
            <w:tcW w:w="1506" w:type="pct"/>
            <w:vAlign w:val="center"/>
          </w:tcPr>
          <w:p w14:paraId="4F986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具有医疗行业年度财务</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会计报表审计经验</w:t>
            </w:r>
            <w:r>
              <w:rPr>
                <w:rFonts w:hint="eastAsia" w:ascii="仿宋" w:hAnsi="仿宋" w:eastAsia="仿宋" w:cs="仿宋"/>
                <w:color w:val="000000"/>
                <w:kern w:val="0"/>
                <w:sz w:val="24"/>
                <w:szCs w:val="24"/>
                <w:highlight w:val="none"/>
                <w:lang w:eastAsia="zh-CN"/>
              </w:rPr>
              <w:t>。</w:t>
            </w:r>
          </w:p>
          <w:p w14:paraId="2C2EC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具有医疗行业内部控制评价经验。</w:t>
            </w:r>
          </w:p>
          <w:p w14:paraId="6B912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p>
        </w:tc>
      </w:tr>
      <w:tr w14:paraId="53C5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32" w:type="pct"/>
            <w:vAlign w:val="center"/>
          </w:tcPr>
          <w:p w14:paraId="6EA63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986" w:type="pct"/>
            <w:vAlign w:val="center"/>
          </w:tcPr>
          <w:p w14:paraId="71C4D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团队成员</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kern w:val="0"/>
                <w:sz w:val="24"/>
                <w:highlight w:val="none"/>
              </w:rPr>
              <w:t>项目负责人</w:t>
            </w:r>
            <w:r>
              <w:rPr>
                <w:rFonts w:hint="eastAsia" w:ascii="仿宋" w:hAnsi="仿宋" w:eastAsia="仿宋" w:cs="仿宋"/>
                <w:b/>
                <w:kern w:val="0"/>
                <w:sz w:val="24"/>
                <w:highlight w:val="none"/>
                <w:lang w:val="en-US" w:eastAsia="zh-CN"/>
              </w:rPr>
              <w:t>除外</w:t>
            </w:r>
            <w:r>
              <w:rPr>
                <w:rFonts w:hint="eastAsia" w:ascii="仿宋" w:hAnsi="仿宋" w:eastAsia="仿宋" w:cs="仿宋"/>
                <w:color w:val="000000"/>
                <w:kern w:val="0"/>
                <w:sz w:val="24"/>
                <w:szCs w:val="24"/>
                <w:highlight w:val="none"/>
                <w:lang w:val="en-US" w:eastAsia="zh-CN"/>
              </w:rPr>
              <w:t>）</w:t>
            </w:r>
          </w:p>
        </w:tc>
        <w:tc>
          <w:tcPr>
            <w:tcW w:w="1975" w:type="pct"/>
            <w:vAlign w:val="center"/>
          </w:tcPr>
          <w:p w14:paraId="2194F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合同签订后提供项目组成员分工名单，经采购人认可。项目组人员在服务期内不得调整更换，如因特殊情况确需调整更换，需经采购人同意后再作变更。</w:t>
            </w:r>
          </w:p>
        </w:tc>
        <w:tc>
          <w:tcPr>
            <w:tcW w:w="1506" w:type="pct"/>
            <w:vAlign w:val="center"/>
          </w:tcPr>
          <w:p w14:paraId="3944C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000000"/>
                <w:kern w:val="0"/>
                <w:sz w:val="24"/>
                <w:szCs w:val="24"/>
                <w:highlight w:val="none"/>
                <w:lang w:val="en-US" w:eastAsia="zh-CN"/>
              </w:rPr>
            </w:pPr>
          </w:p>
          <w:p w14:paraId="41D9D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1.人员数量：至少3人；</w:t>
            </w:r>
          </w:p>
          <w:p w14:paraId="1B4AF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具备中级审计师或中级会计师及以上职称。</w:t>
            </w:r>
          </w:p>
          <w:p w14:paraId="5E3FD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lang w:eastAsia="zh-CN"/>
              </w:rPr>
              <w:t>具</w:t>
            </w:r>
            <w:r>
              <w:rPr>
                <w:rFonts w:hint="eastAsia" w:ascii="仿宋" w:hAnsi="仿宋" w:eastAsia="仿宋" w:cs="仿宋"/>
                <w:color w:val="000000"/>
                <w:kern w:val="0"/>
                <w:sz w:val="24"/>
                <w:szCs w:val="24"/>
                <w:highlight w:val="none"/>
                <w:lang w:val="en-US" w:eastAsia="zh-CN"/>
              </w:rPr>
              <w:t>备</w:t>
            </w:r>
            <w:r>
              <w:rPr>
                <w:rFonts w:hint="eastAsia" w:ascii="仿宋" w:hAnsi="仿宋" w:eastAsia="仿宋" w:cs="仿宋"/>
                <w:color w:val="000000"/>
                <w:kern w:val="0"/>
                <w:sz w:val="24"/>
                <w:szCs w:val="24"/>
                <w:highlight w:val="none"/>
              </w:rPr>
              <w:t>医疗行业年度财务</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会计审计或医疗行业内部控制评价</w:t>
            </w:r>
            <w:r>
              <w:rPr>
                <w:rFonts w:hint="eastAsia" w:ascii="仿宋" w:hAnsi="仿宋" w:eastAsia="仿宋" w:cs="仿宋"/>
                <w:color w:val="000000"/>
                <w:kern w:val="0"/>
                <w:sz w:val="24"/>
                <w:szCs w:val="24"/>
                <w:highlight w:val="none"/>
                <w:lang w:val="en-US" w:eastAsia="zh-CN"/>
              </w:rPr>
              <w:t>经验。</w:t>
            </w:r>
          </w:p>
        </w:tc>
      </w:tr>
    </w:tbl>
    <w:p w14:paraId="7FB958D1">
      <w:pPr>
        <w:jc w:val="both"/>
        <w:outlineLvl w:val="0"/>
        <w:rPr>
          <w:rFonts w:hint="eastAsia" w:ascii="仿宋" w:hAnsi="仿宋" w:eastAsia="仿宋" w:cs="仿宋"/>
          <w:b/>
          <w:bCs w:val="0"/>
          <w:kern w:val="0"/>
          <w:sz w:val="24"/>
          <w:szCs w:val="24"/>
          <w:highlight w:val="none"/>
          <w:lang w:val="en-US" w:eastAsia="zh-CN" w:bidi="ar-SA"/>
        </w:rPr>
      </w:pPr>
    </w:p>
    <w:p w14:paraId="03422398">
      <w:p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六、商务要求</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091"/>
        <w:gridCol w:w="6862"/>
      </w:tblGrid>
      <w:tr w14:paraId="2D5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32" w:type="pct"/>
            <w:vAlign w:val="center"/>
          </w:tcPr>
          <w:p w14:paraId="05DE2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640" w:type="pct"/>
            <w:vAlign w:val="center"/>
          </w:tcPr>
          <w:p w14:paraId="40366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目录</w:t>
            </w:r>
          </w:p>
        </w:tc>
        <w:tc>
          <w:tcPr>
            <w:tcW w:w="4026" w:type="pct"/>
            <w:vAlign w:val="center"/>
          </w:tcPr>
          <w:p w14:paraId="1D259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商务条款要求</w:t>
            </w:r>
          </w:p>
        </w:tc>
      </w:tr>
      <w:tr w14:paraId="5C6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332" w:type="pct"/>
            <w:vAlign w:val="center"/>
          </w:tcPr>
          <w:p w14:paraId="002D0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40" w:type="pct"/>
            <w:vAlign w:val="center"/>
          </w:tcPr>
          <w:p w14:paraId="0B93C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tc>
        <w:tc>
          <w:tcPr>
            <w:tcW w:w="4026" w:type="pct"/>
            <w:vAlign w:val="center"/>
          </w:tcPr>
          <w:p w14:paraId="1728A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合同签订之日起，中标人完成审计服务项目，出具审计报告，并经采购人验收合格后终止；服务期限预计6个月，具体以实际验收合格之日终止。</w:t>
            </w:r>
          </w:p>
        </w:tc>
      </w:tr>
      <w:tr w14:paraId="6C82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2" w:type="pct"/>
            <w:vAlign w:val="center"/>
          </w:tcPr>
          <w:p w14:paraId="089EB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40" w:type="pct"/>
            <w:vAlign w:val="center"/>
          </w:tcPr>
          <w:p w14:paraId="1AFF7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服务地点</w:t>
            </w:r>
          </w:p>
        </w:tc>
        <w:tc>
          <w:tcPr>
            <w:tcW w:w="4026" w:type="pct"/>
            <w:vAlign w:val="center"/>
          </w:tcPr>
          <w:p w14:paraId="101BD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深圳市龙岗中心医院指定地点。</w:t>
            </w:r>
          </w:p>
        </w:tc>
      </w:tr>
      <w:tr w14:paraId="0BA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32" w:type="pct"/>
            <w:vAlign w:val="center"/>
          </w:tcPr>
          <w:p w14:paraId="6C87E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40" w:type="pct"/>
            <w:vAlign w:val="center"/>
          </w:tcPr>
          <w:p w14:paraId="2D0AA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付款方式</w:t>
            </w:r>
          </w:p>
        </w:tc>
        <w:tc>
          <w:tcPr>
            <w:tcW w:w="4026" w:type="pct"/>
            <w:vAlign w:val="center"/>
          </w:tcPr>
          <w:p w14:paraId="61B37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default" w:ascii="仿宋" w:hAnsi="仿宋" w:eastAsia="仿宋" w:cs="仿宋"/>
                <w:color w:val="000000"/>
                <w:kern w:val="0"/>
                <w:sz w:val="24"/>
                <w:szCs w:val="24"/>
                <w:highlight w:val="none"/>
                <w:lang w:val="en-US" w:eastAsia="zh-CN"/>
              </w:rPr>
              <w:t>合同签订后</w:t>
            </w:r>
            <w:r>
              <w:rPr>
                <w:rFonts w:hint="eastAsia" w:ascii="仿宋" w:hAnsi="仿宋" w:eastAsia="仿宋" w:cs="仿宋"/>
                <w:color w:val="000000"/>
                <w:kern w:val="0"/>
                <w:sz w:val="24"/>
                <w:szCs w:val="24"/>
                <w:highlight w:val="none"/>
                <w:lang w:val="en-US" w:eastAsia="zh-CN"/>
              </w:rPr>
              <w:t>，</w:t>
            </w:r>
            <w:r>
              <w:rPr>
                <w:rFonts w:hint="default" w:ascii="仿宋" w:hAnsi="仿宋" w:eastAsia="仿宋" w:cs="仿宋"/>
                <w:color w:val="000000"/>
                <w:kern w:val="0"/>
                <w:sz w:val="24"/>
                <w:szCs w:val="24"/>
                <w:lang w:val="en-US" w:eastAsia="zh-CN" w:bidi="ar"/>
                <w:woUserID w:val="1"/>
              </w:rPr>
              <w:t>采购人收到中标人</w:t>
            </w:r>
            <w:r>
              <w:rPr>
                <w:rFonts w:hint="default" w:ascii="仿宋" w:hAnsi="仿宋" w:eastAsia="仿宋" w:cs="仿宋"/>
                <w:color w:val="000000"/>
                <w:kern w:val="0"/>
                <w:sz w:val="24"/>
                <w:szCs w:val="24"/>
                <w:highlight w:val="none"/>
                <w:lang w:val="en-US" w:eastAsia="zh-CN"/>
              </w:rPr>
              <w:t>增值税</w:t>
            </w:r>
            <w:r>
              <w:rPr>
                <w:rFonts w:hint="default" w:ascii="仿宋" w:hAnsi="仿宋" w:eastAsia="仿宋" w:cs="仿宋"/>
                <w:color w:val="000000"/>
                <w:kern w:val="0"/>
                <w:sz w:val="24"/>
                <w:szCs w:val="24"/>
                <w:lang w:val="en-US" w:eastAsia="zh-CN" w:bidi="ar"/>
                <w:woUserID w:val="1"/>
              </w:rPr>
              <w:t>发票后按照相应时间规定支付</w:t>
            </w:r>
            <w:r>
              <w:rPr>
                <w:rFonts w:hint="default" w:ascii="仿宋" w:hAnsi="仿宋" w:eastAsia="仿宋" w:cs="仿宋"/>
                <w:color w:val="000000"/>
                <w:kern w:val="0"/>
                <w:sz w:val="24"/>
                <w:szCs w:val="24"/>
                <w:highlight w:val="none"/>
                <w:lang w:val="en-US" w:eastAsia="zh-CN"/>
              </w:rPr>
              <w:t>合同总价50%的款项。</w:t>
            </w:r>
          </w:p>
          <w:p w14:paraId="7F651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2.中标人</w:t>
            </w:r>
            <w:r>
              <w:rPr>
                <w:rFonts w:hint="default" w:ascii="仿宋" w:hAnsi="仿宋" w:eastAsia="仿宋" w:cs="仿宋"/>
                <w:color w:val="000000"/>
                <w:kern w:val="0"/>
                <w:sz w:val="24"/>
                <w:szCs w:val="24"/>
                <w:highlight w:val="none"/>
                <w:lang w:val="en-US" w:eastAsia="zh-CN"/>
              </w:rPr>
              <w:t>正式出具审计报告，经</w:t>
            </w:r>
            <w:r>
              <w:rPr>
                <w:rFonts w:hint="eastAsia" w:ascii="仿宋" w:hAnsi="仿宋" w:eastAsia="仿宋" w:cs="仿宋"/>
                <w:color w:val="000000"/>
                <w:kern w:val="0"/>
                <w:sz w:val="24"/>
                <w:szCs w:val="24"/>
                <w:highlight w:val="none"/>
                <w:lang w:val="en-US" w:eastAsia="zh-CN"/>
              </w:rPr>
              <w:t>采购人</w:t>
            </w:r>
            <w:r>
              <w:rPr>
                <w:rFonts w:hint="default" w:ascii="仿宋" w:hAnsi="仿宋" w:eastAsia="仿宋" w:cs="仿宋"/>
                <w:color w:val="000000"/>
                <w:kern w:val="0"/>
                <w:sz w:val="24"/>
                <w:szCs w:val="24"/>
                <w:highlight w:val="none"/>
                <w:lang w:val="en-US" w:eastAsia="zh-CN"/>
              </w:rPr>
              <w:t>验收合格后，并收到</w:t>
            </w:r>
            <w:r>
              <w:rPr>
                <w:rFonts w:hint="eastAsia" w:ascii="仿宋" w:hAnsi="仿宋" w:eastAsia="仿宋" w:cs="仿宋"/>
                <w:color w:val="000000"/>
                <w:kern w:val="0"/>
                <w:sz w:val="24"/>
                <w:szCs w:val="24"/>
                <w:highlight w:val="none"/>
                <w:lang w:val="en-US" w:eastAsia="zh-CN"/>
              </w:rPr>
              <w:t>中标人</w:t>
            </w:r>
            <w:r>
              <w:rPr>
                <w:rFonts w:hint="default" w:ascii="仿宋" w:hAnsi="仿宋" w:eastAsia="仿宋" w:cs="仿宋"/>
                <w:color w:val="000000"/>
                <w:kern w:val="0"/>
                <w:sz w:val="24"/>
                <w:szCs w:val="24"/>
                <w:highlight w:val="none"/>
                <w:lang w:val="en-US" w:eastAsia="zh-CN"/>
              </w:rPr>
              <w:t>增值税发票后</w:t>
            </w:r>
            <w:r>
              <w:rPr>
                <w:rFonts w:hint="default" w:ascii="仿宋" w:hAnsi="仿宋" w:eastAsia="仿宋" w:cs="仿宋"/>
                <w:color w:val="000000"/>
                <w:kern w:val="0"/>
                <w:sz w:val="24"/>
                <w:szCs w:val="24"/>
                <w:lang w:val="en-US" w:eastAsia="zh-CN" w:bidi="ar"/>
                <w:woUserID w:val="1"/>
              </w:rPr>
              <w:t>按照相应时间规定支付</w:t>
            </w:r>
            <w:r>
              <w:rPr>
                <w:rFonts w:hint="default" w:ascii="仿宋" w:hAnsi="仿宋" w:eastAsia="仿宋" w:cs="仿宋"/>
                <w:color w:val="000000"/>
                <w:kern w:val="0"/>
                <w:sz w:val="24"/>
                <w:szCs w:val="24"/>
                <w:highlight w:val="none"/>
                <w:lang w:val="en-US" w:eastAsia="zh-CN"/>
              </w:rPr>
              <w:t>合同总价50%的款项。</w:t>
            </w:r>
          </w:p>
        </w:tc>
      </w:tr>
      <w:tr w14:paraId="2951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2" w:type="pct"/>
            <w:vAlign w:val="center"/>
          </w:tcPr>
          <w:p w14:paraId="0D140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40" w:type="pct"/>
            <w:vAlign w:val="center"/>
          </w:tcPr>
          <w:p w14:paraId="1848A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关于验收</w:t>
            </w:r>
          </w:p>
          <w:p w14:paraId="0905C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p>
        </w:tc>
        <w:tc>
          <w:tcPr>
            <w:tcW w:w="4026" w:type="pct"/>
            <w:vAlign w:val="center"/>
          </w:tcPr>
          <w:p w14:paraId="79918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1）服务经过双方检验认可后，签署验收报告。</w:t>
            </w:r>
          </w:p>
          <w:p w14:paraId="0B107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2）当满足以下条件时，使用部门向中标人签发验收报告：</w:t>
            </w:r>
          </w:p>
          <w:p w14:paraId="60D8F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a、中标人已按照合同规定提供了全部技术资料。</w:t>
            </w:r>
          </w:p>
          <w:p w14:paraId="14F8B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b、服务项目符合招标文件的服务要求。</w:t>
            </w:r>
          </w:p>
        </w:tc>
      </w:tr>
      <w:tr w14:paraId="183A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2" w:type="pct"/>
            <w:vAlign w:val="center"/>
          </w:tcPr>
          <w:p w14:paraId="7D98D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640" w:type="pct"/>
            <w:vAlign w:val="center"/>
          </w:tcPr>
          <w:p w14:paraId="06B22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其他</w:t>
            </w:r>
          </w:p>
        </w:tc>
        <w:tc>
          <w:tcPr>
            <w:tcW w:w="4026" w:type="pct"/>
            <w:vAlign w:val="center"/>
          </w:tcPr>
          <w:p w14:paraId="77688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1.若中标人不能按采购人要求（质量、数量、价格等方面）进行服务，则采购人有权追究中标人的违约责任，有权单方解除合同，并不用对中标人做任何赔偿；</w:t>
            </w:r>
          </w:p>
          <w:p w14:paraId="4874E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2.中标人因服务过程中出现人身安全事故，中标人独立承担一切刑事、民事责任，与甲方无关；</w:t>
            </w:r>
          </w:p>
          <w:p w14:paraId="568C8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3.中标人有下列行为之一的，取消服务供应商资格，且采购人可直接解除合同：</w:t>
            </w:r>
          </w:p>
          <w:p w14:paraId="554CF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（1）弄虚作假、隐瞒真实情况骗取入围供应商资格的；</w:t>
            </w:r>
          </w:p>
          <w:p w14:paraId="04191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（2）因行贿、受贿、串通投标、转包、挂靠等受到有关政府部门处罚的；</w:t>
            </w:r>
          </w:p>
          <w:p w14:paraId="2782E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（3）因其公司资质降低达不到预选供应商资质条件的或被行业主管部门责令停业或取消资质的；</w:t>
            </w:r>
          </w:p>
          <w:p w14:paraId="1ED13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（4）有商业贿赂行为的；</w:t>
            </w:r>
          </w:p>
          <w:p w14:paraId="12736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（5）擅自变更或者中止采购合同的。</w:t>
            </w:r>
          </w:p>
        </w:tc>
      </w:tr>
    </w:tbl>
    <w:p w14:paraId="20852897">
      <w:pPr>
        <w:rPr>
          <w:rFonts w:hint="eastAsia" w:ascii="仿宋" w:hAnsi="仿宋" w:eastAsia="仿宋" w:cs="仿宋"/>
          <w:bCs/>
          <w:color w:val="000000"/>
          <w:sz w:val="24"/>
          <w:szCs w:val="24"/>
          <w:highlight w:val="none"/>
        </w:rPr>
      </w:pPr>
    </w:p>
    <w:p w14:paraId="686D3071">
      <w:pPr>
        <w:widowControl/>
        <w:jc w:val="left"/>
        <w:rPr>
          <w:rFonts w:hint="eastAsia" w:ascii="仿宋" w:hAnsi="仿宋" w:eastAsia="仿宋" w:cs="仿宋"/>
          <w:highlight w:val="none"/>
        </w:rPr>
      </w:pPr>
    </w:p>
    <w:p w14:paraId="2E4BB2B0">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6F641984">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009405E3">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66F6D5A8">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27D7D7B4">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5F25F9C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E053706">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14:paraId="47A38F3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F83B52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528DA3A">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50EE9E7">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49BCCFFE">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6EE9CA27">
      <w:pPr>
        <w:outlineLvl w:val="2"/>
        <w:rPr>
          <w:rFonts w:hint="eastAsia" w:ascii="仿宋" w:hAnsi="仿宋" w:eastAsia="仿宋" w:cs="仿宋"/>
          <w:sz w:val="24"/>
          <w:szCs w:val="24"/>
          <w:highlight w:val="none"/>
        </w:rPr>
      </w:pPr>
      <w:r>
        <w:rPr>
          <w:rStyle w:val="32"/>
          <w:rFonts w:hint="eastAsia" w:ascii="仿宋" w:hAnsi="仿宋" w:eastAsia="仿宋" w:cs="仿宋"/>
          <w:b/>
          <w:bCs w:val="0"/>
          <w:sz w:val="24"/>
          <w:szCs w:val="24"/>
          <w:highlight w:val="none"/>
        </w:rPr>
        <w:t>投标文件组成</w:t>
      </w:r>
    </w:p>
    <w:p w14:paraId="6240DD92">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279EF908">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4F5E292">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3045D710">
      <w:pPr>
        <w:pStyle w:val="25"/>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510B3E98">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5B77DE78">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B0BB12A">
      <w:pPr>
        <w:pStyle w:val="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14:paraId="4C0FB7F8">
      <w:pPr>
        <w:pStyle w:val="25"/>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14:paraId="26244019">
      <w:pPr>
        <w:outlineLvl w:val="2"/>
        <w:rPr>
          <w:rFonts w:hint="eastAsia" w:ascii="仿宋" w:hAnsi="仿宋" w:eastAsia="仿宋" w:cs="仿宋"/>
          <w:b/>
          <w:bCs/>
          <w:sz w:val="28"/>
          <w:szCs w:val="28"/>
          <w:highlight w:val="none"/>
        </w:rPr>
      </w:pPr>
    </w:p>
    <w:p w14:paraId="299E11EE">
      <w:pPr>
        <w:outlineLvl w:val="2"/>
        <w:rPr>
          <w:rFonts w:hint="eastAsia" w:ascii="仿宋" w:hAnsi="仿宋" w:eastAsia="仿宋" w:cs="仿宋"/>
          <w:b/>
          <w:bCs/>
          <w:sz w:val="28"/>
          <w:szCs w:val="28"/>
          <w:highlight w:val="none"/>
        </w:rPr>
      </w:pPr>
    </w:p>
    <w:p w14:paraId="2D07D960">
      <w:pPr>
        <w:outlineLvl w:val="2"/>
        <w:rPr>
          <w:rFonts w:hint="eastAsia" w:ascii="仿宋" w:hAnsi="仿宋" w:eastAsia="仿宋" w:cs="仿宋"/>
          <w:b/>
          <w:bCs/>
          <w:sz w:val="28"/>
          <w:szCs w:val="28"/>
          <w:highlight w:val="none"/>
        </w:rPr>
      </w:pPr>
    </w:p>
    <w:p w14:paraId="1C5C17A8">
      <w:pPr>
        <w:outlineLvl w:val="2"/>
        <w:rPr>
          <w:rFonts w:hint="eastAsia" w:ascii="仿宋" w:hAnsi="仿宋" w:eastAsia="仿宋" w:cs="仿宋"/>
          <w:b/>
          <w:bCs/>
          <w:sz w:val="28"/>
          <w:szCs w:val="28"/>
          <w:highlight w:val="none"/>
        </w:rPr>
      </w:pPr>
    </w:p>
    <w:p w14:paraId="59C9446F">
      <w:pPr>
        <w:outlineLvl w:val="2"/>
        <w:rPr>
          <w:rFonts w:hint="eastAsia" w:ascii="仿宋" w:hAnsi="仿宋" w:eastAsia="仿宋" w:cs="仿宋"/>
          <w:b/>
          <w:bCs/>
          <w:sz w:val="28"/>
          <w:szCs w:val="28"/>
          <w:highlight w:val="none"/>
        </w:rPr>
      </w:pPr>
    </w:p>
    <w:p w14:paraId="036F13F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1B6D23AF">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2"/>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424FF100">
      <w:pPr>
        <w:pStyle w:val="6"/>
        <w:rPr>
          <w:rFonts w:hint="eastAsia" w:ascii="仿宋" w:hAnsi="仿宋" w:eastAsia="仿宋" w:cs="仿宋"/>
          <w:highlight w:val="none"/>
        </w:rPr>
      </w:pPr>
    </w:p>
    <w:p w14:paraId="3E1BD300">
      <w:pPr>
        <w:keepNext/>
        <w:keepLines/>
        <w:spacing w:line="360" w:lineRule="auto"/>
        <w:outlineLvl w:val="3"/>
        <w:rPr>
          <w:rFonts w:hint="eastAsia" w:ascii="仿宋" w:hAnsi="仿宋" w:eastAsia="仿宋" w:cs="仿宋"/>
          <w:b/>
          <w:bCs/>
          <w:sz w:val="24"/>
          <w:szCs w:val="24"/>
          <w:highlight w:val="none"/>
        </w:rPr>
      </w:pPr>
      <w:bookmarkStart w:id="2" w:name="_Toc24797"/>
      <w:bookmarkStart w:id="3" w:name="_Toc18075"/>
      <w:bookmarkStart w:id="4" w:name="_Toc24698"/>
      <w:bookmarkStart w:id="5" w:name="_Toc5828"/>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52AF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7642AE15">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6DB7B3EE">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2EF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E57ED99">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CCBFB9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5B76D9D6">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75F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1E44DC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EA4A58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60A6587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65C77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7C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64F388">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5A3C7B">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CC8974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6E875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AC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294F33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6F0A3D">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053844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573009C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8C3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6FCB53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6569270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7CA11C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E05A3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5ACE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41A15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A4168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45712BC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1DA2A1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95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9677C7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7869F3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89506D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28787C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B58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0C2D65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041516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A6591F3">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03284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E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BE89D8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3D30A20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1B76D1B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41CB17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2294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B8562D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C573FF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3E77F2C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DFEC63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90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47C76E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488D8083">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44541A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F9A80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09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E3EB21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808309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C7271E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6AE83D3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57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A862FF">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C2BA29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61D3424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9A9CB0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42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9796A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261D7E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FCEFA6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43A3CA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0B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1B4D59CC">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5907E1D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6AA308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01324E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F65180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0DBB65FF">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6E7D18C7">
      <w:pPr>
        <w:pStyle w:val="5"/>
        <w:ind w:left="0" w:leftChars="0" w:firstLine="0" w:firstLineChars="0"/>
        <w:rPr>
          <w:rFonts w:hint="eastAsia" w:ascii="仿宋" w:hAnsi="仿宋" w:eastAsia="仿宋" w:cs="仿宋"/>
          <w:b w:val="0"/>
          <w:i w:val="0"/>
          <w:caps w:val="0"/>
          <w:spacing w:val="0"/>
          <w:w w:val="100"/>
          <w:sz w:val="28"/>
          <w:highlight w:val="none"/>
        </w:rPr>
      </w:pPr>
    </w:p>
    <w:p w14:paraId="5C817998">
      <w:pPr>
        <w:pStyle w:val="6"/>
        <w:rPr>
          <w:rFonts w:hint="eastAsia" w:ascii="仿宋" w:hAnsi="仿宋" w:eastAsia="仿宋" w:cs="仿宋"/>
          <w:highlight w:val="none"/>
        </w:rPr>
      </w:pPr>
    </w:p>
    <w:p w14:paraId="610334B6">
      <w:pPr>
        <w:pStyle w:val="17"/>
        <w:rPr>
          <w:rFonts w:hint="eastAsia" w:ascii="仿宋" w:hAnsi="仿宋" w:eastAsia="仿宋" w:cs="仿宋"/>
          <w:highlight w:val="none"/>
        </w:rPr>
      </w:pPr>
    </w:p>
    <w:p w14:paraId="39E7F66A">
      <w:pPr>
        <w:rPr>
          <w:rFonts w:hint="eastAsia" w:ascii="仿宋" w:hAnsi="仿宋" w:eastAsia="仿宋" w:cs="仿宋"/>
          <w:highlight w:val="none"/>
        </w:rPr>
      </w:pPr>
    </w:p>
    <w:p w14:paraId="2A8C2A3B">
      <w:pPr>
        <w:pStyle w:val="25"/>
        <w:rPr>
          <w:rFonts w:hint="eastAsia" w:ascii="仿宋" w:hAnsi="仿宋" w:eastAsia="仿宋" w:cs="仿宋"/>
          <w:highlight w:val="none"/>
        </w:rPr>
      </w:pPr>
    </w:p>
    <w:p w14:paraId="575D7DBB">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0FA3B989">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9AF96AF">
      <w:pPr>
        <w:pStyle w:val="6"/>
        <w:rPr>
          <w:rFonts w:hint="eastAsia" w:ascii="仿宋" w:hAnsi="仿宋" w:eastAsia="仿宋" w:cs="仿宋"/>
          <w:color w:val="auto"/>
          <w:sz w:val="24"/>
          <w:szCs w:val="24"/>
          <w:highlight w:val="none"/>
        </w:rPr>
      </w:pPr>
    </w:p>
    <w:p w14:paraId="02BC1A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7A1CA0E9">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4C821E37">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4FEE1C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7081BAB2">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11450877">
      <w:pPr>
        <w:pStyle w:val="6"/>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58D952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E1FBE59">
      <w:pPr>
        <w:ind w:left="540" w:leftChars="257"/>
        <w:rPr>
          <w:rFonts w:hint="eastAsia" w:ascii="仿宋" w:hAnsi="仿宋" w:eastAsia="仿宋" w:cs="仿宋"/>
          <w:color w:val="auto"/>
          <w:sz w:val="24"/>
          <w:szCs w:val="24"/>
          <w:highlight w:val="none"/>
        </w:rPr>
      </w:pPr>
    </w:p>
    <w:p w14:paraId="531DBDF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4B7A31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384F5FB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F6378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7F9FEF2">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3AECB54">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649DF8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14B96CCF">
      <w:pPr>
        <w:pStyle w:val="25"/>
        <w:rPr>
          <w:rFonts w:hint="eastAsia" w:ascii="仿宋" w:hAnsi="仿宋" w:eastAsia="仿宋" w:cs="仿宋"/>
          <w:color w:val="auto"/>
          <w:sz w:val="24"/>
          <w:szCs w:val="24"/>
          <w:highlight w:val="none"/>
        </w:rPr>
      </w:pPr>
    </w:p>
    <w:p w14:paraId="464C6887">
      <w:pPr>
        <w:pStyle w:val="25"/>
        <w:rPr>
          <w:rFonts w:hint="eastAsia" w:ascii="仿宋" w:hAnsi="仿宋" w:eastAsia="仿宋" w:cs="仿宋"/>
          <w:color w:val="auto"/>
          <w:sz w:val="24"/>
          <w:szCs w:val="24"/>
          <w:highlight w:val="none"/>
        </w:rPr>
      </w:pPr>
    </w:p>
    <w:p w14:paraId="1DE2ECF2">
      <w:pPr>
        <w:pStyle w:val="25"/>
        <w:rPr>
          <w:rFonts w:hint="eastAsia" w:ascii="仿宋" w:hAnsi="仿宋" w:eastAsia="仿宋" w:cs="仿宋"/>
          <w:color w:val="auto"/>
          <w:sz w:val="24"/>
          <w:szCs w:val="24"/>
          <w:highlight w:val="none"/>
        </w:rPr>
      </w:pPr>
    </w:p>
    <w:p w14:paraId="27B65D4D">
      <w:pPr>
        <w:pStyle w:val="25"/>
        <w:rPr>
          <w:rFonts w:hint="eastAsia" w:ascii="仿宋" w:hAnsi="仿宋" w:eastAsia="仿宋" w:cs="仿宋"/>
          <w:color w:val="auto"/>
          <w:sz w:val="24"/>
          <w:szCs w:val="24"/>
          <w:highlight w:val="none"/>
        </w:rPr>
      </w:pPr>
    </w:p>
    <w:p w14:paraId="286204A4">
      <w:pPr>
        <w:pStyle w:val="25"/>
        <w:rPr>
          <w:rFonts w:hint="eastAsia" w:ascii="仿宋" w:hAnsi="仿宋" w:eastAsia="仿宋" w:cs="仿宋"/>
          <w:color w:val="auto"/>
          <w:sz w:val="24"/>
          <w:szCs w:val="24"/>
          <w:highlight w:val="none"/>
        </w:rPr>
      </w:pPr>
    </w:p>
    <w:p w14:paraId="5C0B4A99">
      <w:pPr>
        <w:pStyle w:val="25"/>
        <w:rPr>
          <w:rFonts w:hint="eastAsia" w:ascii="仿宋" w:hAnsi="仿宋" w:eastAsia="仿宋" w:cs="仿宋"/>
          <w:color w:val="auto"/>
          <w:sz w:val="24"/>
          <w:szCs w:val="24"/>
          <w:highlight w:val="none"/>
        </w:rPr>
      </w:pPr>
    </w:p>
    <w:p w14:paraId="278DCE80">
      <w:pPr>
        <w:pStyle w:val="25"/>
        <w:rPr>
          <w:rFonts w:hint="eastAsia" w:ascii="仿宋" w:hAnsi="仿宋" w:eastAsia="仿宋" w:cs="仿宋"/>
          <w:color w:val="auto"/>
          <w:sz w:val="24"/>
          <w:szCs w:val="24"/>
          <w:highlight w:val="none"/>
        </w:rPr>
      </w:pPr>
    </w:p>
    <w:p w14:paraId="2822F26F">
      <w:pPr>
        <w:pStyle w:val="25"/>
        <w:rPr>
          <w:rFonts w:hint="eastAsia" w:ascii="仿宋" w:hAnsi="仿宋" w:eastAsia="仿宋" w:cs="仿宋"/>
          <w:color w:val="auto"/>
          <w:sz w:val="24"/>
          <w:szCs w:val="24"/>
          <w:highlight w:val="none"/>
        </w:rPr>
      </w:pPr>
    </w:p>
    <w:p w14:paraId="41007B19">
      <w:pPr>
        <w:pStyle w:val="25"/>
        <w:rPr>
          <w:rFonts w:hint="eastAsia" w:ascii="仿宋" w:hAnsi="仿宋" w:eastAsia="仿宋" w:cs="仿宋"/>
          <w:color w:val="auto"/>
          <w:sz w:val="24"/>
          <w:szCs w:val="24"/>
          <w:highlight w:val="none"/>
        </w:rPr>
      </w:pPr>
    </w:p>
    <w:p w14:paraId="48F531C2">
      <w:pPr>
        <w:pStyle w:val="25"/>
        <w:rPr>
          <w:rFonts w:hint="eastAsia" w:ascii="仿宋" w:hAnsi="仿宋" w:eastAsia="仿宋" w:cs="仿宋"/>
          <w:color w:val="auto"/>
          <w:sz w:val="24"/>
          <w:szCs w:val="24"/>
          <w:highlight w:val="none"/>
        </w:rPr>
      </w:pPr>
    </w:p>
    <w:p w14:paraId="58B4510B">
      <w:pPr>
        <w:pStyle w:val="25"/>
        <w:rPr>
          <w:rFonts w:hint="eastAsia" w:ascii="仿宋" w:hAnsi="仿宋" w:eastAsia="仿宋" w:cs="仿宋"/>
          <w:color w:val="auto"/>
          <w:sz w:val="24"/>
          <w:szCs w:val="24"/>
          <w:highlight w:val="none"/>
        </w:rPr>
      </w:pPr>
    </w:p>
    <w:p w14:paraId="3B16E25C">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2F39F7BD">
      <w:pPr>
        <w:rPr>
          <w:rFonts w:hint="eastAsia" w:ascii="仿宋" w:hAnsi="仿宋" w:eastAsia="仿宋" w:cs="仿宋"/>
          <w:highlight w:val="none"/>
        </w:rPr>
      </w:pPr>
    </w:p>
    <w:p w14:paraId="677D9DF6">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05"/>
        <w:gridCol w:w="1759"/>
        <w:gridCol w:w="450"/>
        <w:gridCol w:w="477"/>
        <w:gridCol w:w="1299"/>
        <w:gridCol w:w="937"/>
        <w:gridCol w:w="955"/>
        <w:gridCol w:w="1102"/>
      </w:tblGrid>
      <w:tr w14:paraId="241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6" w:type="pct"/>
            <w:vAlign w:val="center"/>
          </w:tcPr>
          <w:p w14:paraId="155820D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648" w:type="pct"/>
            <w:vAlign w:val="center"/>
          </w:tcPr>
          <w:p w14:paraId="51CD8AD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032" w:type="pct"/>
            <w:shd w:val="clear" w:color="auto" w:fill="auto"/>
            <w:vAlign w:val="center"/>
          </w:tcPr>
          <w:p w14:paraId="7AC8F5B7">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服务需求名称</w:t>
            </w:r>
          </w:p>
        </w:tc>
        <w:tc>
          <w:tcPr>
            <w:tcW w:w="264" w:type="pct"/>
            <w:vAlign w:val="center"/>
          </w:tcPr>
          <w:p w14:paraId="6682A7C3">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79" w:type="pct"/>
            <w:vAlign w:val="center"/>
          </w:tcPr>
          <w:p w14:paraId="3F549B7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762" w:type="pct"/>
            <w:vAlign w:val="center"/>
          </w:tcPr>
          <w:p w14:paraId="7EB2640D">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最高单价限价（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9" w:type="pct"/>
            <w:vAlign w:val="center"/>
          </w:tcPr>
          <w:p w14:paraId="374BCD1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单价（元）</w:t>
            </w:r>
          </w:p>
        </w:tc>
        <w:tc>
          <w:tcPr>
            <w:tcW w:w="560" w:type="pct"/>
            <w:vAlign w:val="center"/>
          </w:tcPr>
          <w:p w14:paraId="6A1038D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646" w:type="pct"/>
            <w:vAlign w:val="center"/>
          </w:tcPr>
          <w:p w14:paraId="7575F2F1">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673B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56" w:type="pct"/>
            <w:vAlign w:val="center"/>
          </w:tcPr>
          <w:p w14:paraId="0F9C63B8">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648" w:type="pct"/>
            <w:vMerge w:val="restart"/>
            <w:vAlign w:val="center"/>
          </w:tcPr>
          <w:p w14:paraId="1DB4D133">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LGZXYYZBB20250611-1</w:t>
            </w:r>
          </w:p>
        </w:tc>
        <w:tc>
          <w:tcPr>
            <w:tcW w:w="1032" w:type="pct"/>
            <w:shd w:val="clear" w:color="auto" w:fill="auto"/>
            <w:vAlign w:val="center"/>
          </w:tcPr>
          <w:p w14:paraId="011F8B2B">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2024年度会计报表审计项目</w:t>
            </w:r>
          </w:p>
        </w:tc>
        <w:tc>
          <w:tcPr>
            <w:tcW w:w="264" w:type="pct"/>
            <w:vAlign w:val="center"/>
          </w:tcPr>
          <w:p w14:paraId="1E305495">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79" w:type="pct"/>
            <w:vAlign w:val="center"/>
          </w:tcPr>
          <w:p w14:paraId="5D92321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762" w:type="pct"/>
            <w:shd w:val="clear" w:color="auto" w:fill="auto"/>
            <w:vAlign w:val="center"/>
          </w:tcPr>
          <w:p w14:paraId="7B3C1DC0">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110000.00</w:t>
            </w:r>
          </w:p>
        </w:tc>
        <w:tc>
          <w:tcPr>
            <w:tcW w:w="549" w:type="pct"/>
            <w:shd w:val="clear" w:color="auto" w:fill="auto"/>
            <w:vAlign w:val="center"/>
          </w:tcPr>
          <w:p w14:paraId="2CF71E7D">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p>
        </w:tc>
        <w:tc>
          <w:tcPr>
            <w:tcW w:w="560" w:type="pct"/>
            <w:shd w:val="clear" w:color="auto" w:fill="auto"/>
            <w:vAlign w:val="center"/>
          </w:tcPr>
          <w:p w14:paraId="79B956A9">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p>
        </w:tc>
        <w:tc>
          <w:tcPr>
            <w:tcW w:w="646" w:type="pct"/>
            <w:vMerge w:val="restart"/>
            <w:vAlign w:val="center"/>
          </w:tcPr>
          <w:p w14:paraId="69CF2E53">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Cs/>
                <w:color w:val="auto"/>
                <w:sz w:val="24"/>
                <w:szCs w:val="24"/>
                <w:highlight w:val="none"/>
                <w:lang w:val="en-US" w:eastAsia="zh-CN"/>
              </w:rPr>
              <w:t>170000.00</w:t>
            </w:r>
          </w:p>
        </w:tc>
      </w:tr>
      <w:tr w14:paraId="45D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56" w:type="pct"/>
            <w:vAlign w:val="center"/>
          </w:tcPr>
          <w:p w14:paraId="609CC82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648" w:type="pct"/>
            <w:vMerge w:val="continue"/>
            <w:vAlign w:val="center"/>
          </w:tcPr>
          <w:p w14:paraId="6F5F2A12">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1032" w:type="pct"/>
            <w:shd w:val="clear" w:color="auto" w:fill="auto"/>
            <w:vAlign w:val="center"/>
          </w:tcPr>
          <w:p w14:paraId="5CB4B89D">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2024年度内部控制评价项目</w:t>
            </w:r>
          </w:p>
        </w:tc>
        <w:tc>
          <w:tcPr>
            <w:tcW w:w="264" w:type="pct"/>
            <w:vAlign w:val="center"/>
          </w:tcPr>
          <w:p w14:paraId="06AFD52F">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79" w:type="pct"/>
            <w:vAlign w:val="center"/>
          </w:tcPr>
          <w:p w14:paraId="5CB71F3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762" w:type="pct"/>
            <w:shd w:val="clear" w:color="auto" w:fill="auto"/>
            <w:vAlign w:val="center"/>
          </w:tcPr>
          <w:p w14:paraId="252E1EEA">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60000.00</w:t>
            </w:r>
          </w:p>
        </w:tc>
        <w:tc>
          <w:tcPr>
            <w:tcW w:w="549" w:type="pct"/>
            <w:shd w:val="clear" w:color="auto" w:fill="auto"/>
            <w:vAlign w:val="center"/>
          </w:tcPr>
          <w:p w14:paraId="3E9E1397">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p>
        </w:tc>
        <w:tc>
          <w:tcPr>
            <w:tcW w:w="560" w:type="pct"/>
            <w:shd w:val="clear" w:color="auto" w:fill="auto"/>
            <w:vAlign w:val="center"/>
          </w:tcPr>
          <w:p w14:paraId="3A54A270">
            <w:pPr>
              <w:keepNext w:val="0"/>
              <w:keepLines w:val="0"/>
              <w:suppressLineNumbers w:val="0"/>
              <w:spacing w:before="0" w:beforeAutospacing="0" w:after="0" w:afterAutospacing="0"/>
              <w:ind w:left="0" w:leftChars="0" w:right="0" w:rightChars="0"/>
              <w:jc w:val="center"/>
              <w:rPr>
                <w:rFonts w:hint="eastAsia" w:ascii="仿宋" w:hAnsi="仿宋" w:eastAsia="仿宋" w:cs="仿宋"/>
                <w:bCs/>
                <w:kern w:val="2"/>
                <w:sz w:val="24"/>
                <w:szCs w:val="24"/>
                <w:highlight w:val="none"/>
                <w:lang w:val="en-US" w:eastAsia="zh-CN" w:bidi="ar-SA"/>
              </w:rPr>
            </w:pPr>
          </w:p>
        </w:tc>
        <w:tc>
          <w:tcPr>
            <w:tcW w:w="646" w:type="pct"/>
            <w:vMerge w:val="continue"/>
            <w:vAlign w:val="center"/>
          </w:tcPr>
          <w:p w14:paraId="394BFD3C">
            <w:pPr>
              <w:keepNext w:val="0"/>
              <w:keepLines w:val="0"/>
              <w:suppressLineNumbers w:val="0"/>
              <w:spacing w:before="0" w:beforeAutospacing="0" w:after="0" w:afterAutospacing="0"/>
              <w:ind w:left="0" w:right="0"/>
              <w:jc w:val="center"/>
              <w:rPr>
                <w:rFonts w:hint="eastAsia" w:ascii="仿宋" w:hAnsi="仿宋" w:eastAsia="仿宋" w:cs="仿宋"/>
                <w:b/>
                <w:bCs/>
                <w:color w:val="FF0000"/>
                <w:sz w:val="24"/>
                <w:szCs w:val="24"/>
                <w:highlight w:val="none"/>
              </w:rPr>
            </w:pPr>
          </w:p>
        </w:tc>
      </w:tr>
      <w:tr w14:paraId="28DA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 w:type="pct"/>
            <w:vAlign w:val="center"/>
          </w:tcPr>
          <w:p w14:paraId="36D6AFEF">
            <w:pPr>
              <w:keepNext w:val="0"/>
              <w:keepLines w:val="0"/>
              <w:suppressLineNumbers w:val="0"/>
              <w:spacing w:before="0" w:beforeAutospacing="0" w:after="0" w:afterAutospacing="0"/>
              <w:ind w:left="0" w:right="0"/>
              <w:jc w:val="both"/>
              <w:rPr>
                <w:rFonts w:hint="eastAsia" w:ascii="仿宋" w:hAnsi="仿宋" w:eastAsia="仿宋" w:cs="仿宋"/>
                <w:bCs/>
                <w:sz w:val="24"/>
                <w:szCs w:val="24"/>
                <w:highlight w:val="none"/>
              </w:rPr>
            </w:pPr>
          </w:p>
        </w:tc>
        <w:tc>
          <w:tcPr>
            <w:tcW w:w="4743" w:type="pct"/>
            <w:gridSpan w:val="8"/>
            <w:vAlign w:val="center"/>
          </w:tcPr>
          <w:p w14:paraId="5B469250">
            <w:pPr>
              <w:keepNext w:val="0"/>
              <w:keepLines w:val="0"/>
              <w:suppressLineNumbers w:val="0"/>
              <w:spacing w:before="0" w:beforeAutospacing="0" w:after="0" w:afterAutospacing="0"/>
              <w:ind w:left="0" w:right="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w:t>
            </w:r>
          </w:p>
          <w:p w14:paraId="5A5C0A5F">
            <w:pPr>
              <w:keepNext w:val="0"/>
              <w:keepLines w:val="0"/>
              <w:suppressLineNumbers w:val="0"/>
              <w:spacing w:before="0" w:beforeAutospacing="0" w:after="0" w:afterAutospacing="0"/>
              <w:ind w:left="0" w:right="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小写：           大写：</w:t>
            </w:r>
          </w:p>
        </w:tc>
      </w:tr>
    </w:tbl>
    <w:p w14:paraId="578E4D9A">
      <w:pPr>
        <w:ind w:firstLine="482" w:firstLineChars="200"/>
        <w:rPr>
          <w:rFonts w:hint="eastAsia" w:ascii="仿宋" w:hAnsi="仿宋" w:eastAsia="仿宋" w:cs="仿宋"/>
          <w:b/>
          <w:bCs/>
          <w:sz w:val="24"/>
          <w:highlight w:val="none"/>
        </w:rPr>
      </w:pPr>
    </w:p>
    <w:p w14:paraId="49FB1EE5">
      <w:pPr>
        <w:tabs>
          <w:tab w:val="left" w:pos="720"/>
        </w:tabs>
        <w:jc w:val="center"/>
        <w:rPr>
          <w:rFonts w:hint="eastAsia" w:ascii="仿宋" w:hAnsi="仿宋" w:eastAsia="仿宋" w:cs="仿宋"/>
          <w:b/>
          <w:sz w:val="24"/>
          <w:highlight w:val="none"/>
        </w:rPr>
      </w:pPr>
    </w:p>
    <w:p w14:paraId="308A8152">
      <w:pPr>
        <w:tabs>
          <w:tab w:val="left" w:pos="720"/>
        </w:tabs>
        <w:jc w:val="center"/>
        <w:rPr>
          <w:rFonts w:hint="eastAsia" w:ascii="仿宋" w:hAnsi="仿宋" w:eastAsia="仿宋" w:cs="仿宋"/>
          <w:b/>
          <w:sz w:val="24"/>
          <w:highlight w:val="none"/>
        </w:rPr>
      </w:pPr>
      <w:r>
        <w:rPr>
          <w:rFonts w:hint="eastAsia" w:ascii="仿宋" w:hAnsi="仿宋" w:eastAsia="仿宋" w:cs="仿宋"/>
          <w:b/>
          <w:sz w:val="24"/>
          <w:highlight w:val="none"/>
        </w:rPr>
        <w:t>（二）投标人认为需要涉及的其他内容报价清单</w:t>
      </w:r>
    </w:p>
    <w:p w14:paraId="4EE7AFF3">
      <w:pPr>
        <w:rPr>
          <w:rFonts w:hint="eastAsia" w:ascii="仿宋" w:hAnsi="仿宋" w:eastAsia="仿宋" w:cs="仿宋"/>
          <w:b/>
          <w:bCs/>
          <w:highlight w:val="none"/>
        </w:rPr>
      </w:pPr>
    </w:p>
    <w:p w14:paraId="4331A86D">
      <w:pPr>
        <w:ind w:firstLine="482" w:firstLineChars="200"/>
        <w:rPr>
          <w:rFonts w:hint="eastAsia" w:ascii="仿宋" w:hAnsi="仿宋" w:eastAsia="仿宋" w:cs="仿宋"/>
          <w:b/>
          <w:bCs/>
          <w:sz w:val="24"/>
          <w:highlight w:val="none"/>
        </w:rPr>
      </w:pPr>
    </w:p>
    <w:p w14:paraId="125421E5">
      <w:pPr>
        <w:pStyle w:val="10"/>
        <w:spacing w:line="360" w:lineRule="auto"/>
        <w:ind w:firstLine="420" w:firstLineChars="200"/>
        <w:rPr>
          <w:rFonts w:hint="eastAsia" w:ascii="仿宋" w:hAnsi="仿宋" w:eastAsia="仿宋" w:cs="仿宋"/>
          <w:szCs w:val="21"/>
          <w:highlight w:val="none"/>
        </w:rPr>
      </w:pPr>
    </w:p>
    <w:p w14:paraId="6CA08751">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10738DF5">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7D43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D8195E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9B9B40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6075D9B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495BEFD0">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34CD80D8">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0E63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057F5AF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09C70935">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413D32E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B2AD88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2A40DFA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2A83CD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2FB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72CDD44">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66C82A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66E1BC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A86C0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7910B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08127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52823C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2921B7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5242B57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426382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19D8CA3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14:paraId="525D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424EAE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5A04F87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0CC9A92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5070589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DA4228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7A9EF01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2CA4C92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219CF4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4814C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587DA1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4A7BB5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5F63494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8A62E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59B78C0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4BA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3DD165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6C91DFEE">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5F66A6F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7683E48">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25BDF8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5CF264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5CD7F4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CEB262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540536D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6B5CC53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640E96E">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436941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0C601CB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4828CAE">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2D2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57DE22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B534986">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76B09D7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w:t>
            </w:r>
          </w:p>
          <w:p w14:paraId="0FA93114">
            <w:pPr>
              <w:keepNext w:val="0"/>
              <w:keepLines w:val="0"/>
              <w:suppressLineNumbers w:val="0"/>
              <w:spacing w:before="0" w:beforeAutospacing="0" w:after="0" w:afterAutospacing="0"/>
              <w:ind w:left="0" w:right="0"/>
              <w:rPr>
                <w:rFonts w:hint="eastAsia" w:ascii="Calibri" w:hAnsi="Calibri" w:eastAsia="宋体" w:cs="Calibri"/>
                <w:kern w:val="2"/>
                <w:sz w:val="21"/>
                <w:szCs w:val="21"/>
                <w:lang w:val="en-US" w:eastAsia="zh-CN" w:bidi="ar-SA"/>
              </w:rPr>
            </w:pPr>
          </w:p>
          <w:p w14:paraId="71A64A6B">
            <w:pPr>
              <w:keepNext w:val="0"/>
              <w:keepLines w:val="0"/>
              <w:suppressLineNumbers w:val="0"/>
              <w:spacing w:before="0" w:beforeAutospacing="0" w:after="0" w:afterAutospacing="0"/>
              <w:ind w:left="0" w:right="0"/>
              <w:jc w:val="center"/>
              <w:rPr>
                <w:rFonts w:hint="eastAsia"/>
                <w:lang w:val="en-US" w:eastAsia="zh-CN"/>
              </w:rPr>
            </w:pPr>
          </w:p>
        </w:tc>
        <w:tc>
          <w:tcPr>
            <w:tcW w:w="1323" w:type="dxa"/>
            <w:vAlign w:val="center"/>
          </w:tcPr>
          <w:p w14:paraId="2917F95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4194FBA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B961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45861A7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27F4F8A">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651AB87C">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6075975">
      <w:pPr>
        <w:outlineLvl w:val="3"/>
        <w:rPr>
          <w:rFonts w:hint="eastAsia" w:ascii="仿宋" w:hAnsi="仿宋" w:eastAsia="仿宋" w:cs="仿宋"/>
          <w:b/>
          <w:szCs w:val="21"/>
          <w:highlight w:val="none"/>
        </w:rPr>
      </w:pPr>
      <w:bookmarkStart w:id="7" w:name="_Toc7602"/>
    </w:p>
    <w:bookmarkEnd w:id="7"/>
    <w:p w14:paraId="26554BD2">
      <w:pPr>
        <w:rPr>
          <w:rFonts w:hint="eastAsia" w:ascii="仿宋" w:hAnsi="仿宋" w:eastAsia="仿宋" w:cs="仿宋"/>
          <w:highlight w:val="none"/>
        </w:rPr>
      </w:pPr>
    </w:p>
    <w:p w14:paraId="1C7BE001">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7CD8B432">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3A86F80F">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39F2B5C9">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599638E4">
      <w:pPr>
        <w:adjustRightInd w:val="0"/>
        <w:jc w:val="center"/>
        <w:outlineLvl w:val="4"/>
        <w:rPr>
          <w:rFonts w:hint="eastAsia" w:ascii="仿宋" w:hAnsi="仿宋" w:eastAsia="仿宋" w:cs="仿宋"/>
          <w:b/>
          <w:bCs/>
          <w:sz w:val="24"/>
          <w:szCs w:val="24"/>
          <w:highlight w:val="none"/>
        </w:rPr>
      </w:pPr>
    </w:p>
    <w:p w14:paraId="6870A206">
      <w:pPr>
        <w:adjustRightInd w:val="0"/>
        <w:jc w:val="both"/>
        <w:outlineLvl w:val="4"/>
        <w:rPr>
          <w:rFonts w:hint="eastAsia" w:ascii="仿宋" w:hAnsi="仿宋" w:eastAsia="仿宋" w:cs="仿宋"/>
          <w:b/>
          <w:bCs/>
          <w:sz w:val="24"/>
          <w:szCs w:val="24"/>
          <w:highlight w:val="none"/>
          <w:lang w:val="en-US" w:eastAsia="zh-CN"/>
        </w:rPr>
      </w:pPr>
    </w:p>
    <w:p w14:paraId="361A408E">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599C0FBB">
      <w:pPr>
        <w:shd w:val="clear"/>
        <w:snapToGrid w:val="0"/>
        <w:spacing w:line="360" w:lineRule="auto"/>
        <w:rPr>
          <w:rFonts w:hint="eastAsia" w:ascii="仿宋" w:hAnsi="仿宋" w:eastAsia="仿宋" w:cs="仿宋"/>
          <w:color w:val="auto"/>
          <w:sz w:val="24"/>
          <w:szCs w:val="24"/>
          <w:highlight w:val="none"/>
        </w:rPr>
      </w:pPr>
    </w:p>
    <w:p w14:paraId="6766B812">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0E4238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0079E49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0B6C2D4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3F77E7E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022F3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6E834E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6E2559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7165D9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5DC8D1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011ACEA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41D72BF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361BD1A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0E2BE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3B12328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0872A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611B319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1BDDD7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E16F5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E0C567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5"/>
        <w:widowControl w:val="0"/>
        <w:numPr>
          <w:ilvl w:val="0"/>
          <w:numId w:val="0"/>
        </w:numPr>
        <w:jc w:val="both"/>
        <w:rPr>
          <w:rFonts w:hint="default" w:ascii="仿宋" w:hAnsi="仿宋" w:eastAsia="仿宋" w:cs="仿宋"/>
          <w:b/>
          <w:bCs/>
          <w:sz w:val="24"/>
          <w:szCs w:val="24"/>
          <w:highlight w:val="none"/>
          <w:lang w:val="en-US" w:eastAsia="zh-CN"/>
        </w:rPr>
      </w:pPr>
    </w:p>
    <w:p w14:paraId="16F21D0D">
      <w:pPr>
        <w:pStyle w:val="5"/>
        <w:widowControl w:val="0"/>
        <w:numPr>
          <w:ilvl w:val="0"/>
          <w:numId w:val="0"/>
        </w:numPr>
        <w:jc w:val="both"/>
        <w:rPr>
          <w:rFonts w:hint="default" w:ascii="仿宋" w:hAnsi="仿宋" w:eastAsia="仿宋" w:cs="仿宋"/>
          <w:b/>
          <w:bCs/>
          <w:sz w:val="24"/>
          <w:szCs w:val="24"/>
          <w:highlight w:val="none"/>
          <w:lang w:val="en-US" w:eastAsia="zh-CN"/>
        </w:rPr>
      </w:pPr>
    </w:p>
    <w:p w14:paraId="0836DAF0">
      <w:pPr>
        <w:rPr>
          <w:rFonts w:hint="eastAsia" w:ascii="仿宋" w:hAnsi="仿宋" w:eastAsia="仿宋" w:cs="仿宋"/>
          <w:b/>
          <w:bCs/>
          <w:kern w:val="2"/>
          <w:sz w:val="24"/>
          <w:szCs w:val="24"/>
          <w:highlight w:val="none"/>
          <w:lang w:val="en-US" w:eastAsia="zh-CN" w:bidi="ar-SA"/>
        </w:rPr>
      </w:pPr>
      <w:bookmarkStart w:id="8" w:name="_Toc743"/>
      <w:bookmarkStart w:id="9" w:name="_Toc29757"/>
      <w:r>
        <w:rPr>
          <w:rFonts w:hint="eastAsia" w:ascii="仿宋" w:hAnsi="仿宋" w:eastAsia="仿宋" w:cs="仿宋"/>
          <w:b/>
          <w:bCs/>
          <w:kern w:val="2"/>
          <w:sz w:val="24"/>
          <w:szCs w:val="24"/>
          <w:highlight w:val="none"/>
          <w:lang w:val="en-US" w:eastAsia="zh-CN" w:bidi="ar-SA"/>
        </w:rPr>
        <w:br w:type="page"/>
      </w:r>
    </w:p>
    <w:p w14:paraId="10601471">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240EA94C">
      <w:pPr>
        <w:pStyle w:val="10"/>
        <w:spacing w:line="360" w:lineRule="auto"/>
        <w:jc w:val="center"/>
        <w:rPr>
          <w:rFonts w:hint="eastAsia" w:ascii="仿宋" w:hAnsi="仿宋" w:eastAsia="仿宋" w:cs="仿宋"/>
          <w:b/>
          <w:bCs/>
          <w:sz w:val="24"/>
          <w:szCs w:val="24"/>
          <w:highlight w:val="none"/>
        </w:rPr>
      </w:pPr>
    </w:p>
    <w:p w14:paraId="4EB5FCDD">
      <w:pPr>
        <w:pStyle w:val="1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52998DC6">
      <w:pPr>
        <w:widowControl/>
        <w:autoSpaceDE w:val="0"/>
        <w:autoSpaceDN w:val="0"/>
        <w:ind w:right="893"/>
        <w:jc w:val="center"/>
        <w:textAlignment w:val="bottom"/>
        <w:rPr>
          <w:rFonts w:hint="eastAsia" w:ascii="仿宋" w:hAnsi="仿宋" w:eastAsia="仿宋" w:cs="仿宋"/>
          <w:sz w:val="24"/>
          <w:szCs w:val="24"/>
          <w:highlight w:val="none"/>
        </w:rPr>
      </w:pPr>
    </w:p>
    <w:p w14:paraId="1C0A1EC2">
      <w:pPr>
        <w:pStyle w:val="6"/>
        <w:rPr>
          <w:rFonts w:hint="eastAsia" w:ascii="仿宋" w:hAnsi="仿宋" w:eastAsia="仿宋" w:cs="仿宋"/>
          <w:sz w:val="24"/>
          <w:szCs w:val="24"/>
          <w:highlight w:val="none"/>
        </w:rPr>
      </w:pPr>
    </w:p>
    <w:p w14:paraId="5B6A53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5CDA8A2">
      <w:pPr>
        <w:ind w:firstLine="480" w:firstLineChars="200"/>
        <w:rPr>
          <w:rFonts w:hint="eastAsia" w:ascii="仿宋" w:hAnsi="仿宋" w:eastAsia="仿宋" w:cs="仿宋"/>
          <w:bCs/>
          <w:color w:val="auto"/>
          <w:kern w:val="2"/>
          <w:sz w:val="24"/>
          <w:szCs w:val="24"/>
          <w:highlight w:val="none"/>
          <w:lang w:val="en-US" w:eastAsia="zh-CN" w:bidi="ar-SA"/>
        </w:rPr>
      </w:pPr>
    </w:p>
    <w:p w14:paraId="45FD7CE5">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9769B60">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F2AA7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B3B71B7">
      <w:pPr>
        <w:ind w:firstLine="480" w:firstLineChars="200"/>
        <w:rPr>
          <w:rFonts w:hint="eastAsia" w:ascii="仿宋" w:hAnsi="仿宋" w:eastAsia="仿宋" w:cs="仿宋"/>
          <w:color w:val="auto"/>
          <w:sz w:val="24"/>
          <w:szCs w:val="24"/>
          <w:highlight w:val="none"/>
        </w:rPr>
      </w:pPr>
    </w:p>
    <w:p w14:paraId="1846957E">
      <w:pPr>
        <w:ind w:firstLine="480" w:firstLineChars="200"/>
        <w:rPr>
          <w:rFonts w:hint="eastAsia" w:ascii="仿宋" w:hAnsi="仿宋" w:eastAsia="仿宋" w:cs="仿宋"/>
          <w:color w:val="auto"/>
          <w:sz w:val="24"/>
          <w:szCs w:val="24"/>
          <w:highlight w:val="none"/>
        </w:rPr>
      </w:pPr>
    </w:p>
    <w:p w14:paraId="47AD007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80C3D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FDF5F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16F58DA4">
      <w:pPr>
        <w:widowControl/>
        <w:autoSpaceDE w:val="0"/>
        <w:autoSpaceDN w:val="0"/>
        <w:ind w:right="893"/>
        <w:textAlignment w:val="bottom"/>
        <w:rPr>
          <w:rFonts w:hint="eastAsia" w:ascii="仿宋" w:hAnsi="仿宋" w:eastAsia="仿宋" w:cs="仿宋"/>
          <w:color w:val="auto"/>
          <w:sz w:val="24"/>
          <w:szCs w:val="24"/>
          <w:highlight w:val="none"/>
        </w:rPr>
      </w:pPr>
    </w:p>
    <w:p w14:paraId="38AF8B3C">
      <w:pPr>
        <w:widowControl/>
        <w:autoSpaceDE w:val="0"/>
        <w:autoSpaceDN w:val="0"/>
        <w:ind w:right="893"/>
        <w:textAlignment w:val="bottom"/>
        <w:rPr>
          <w:rFonts w:hint="eastAsia" w:ascii="仿宋" w:hAnsi="仿宋" w:eastAsia="仿宋" w:cs="仿宋"/>
          <w:color w:val="auto"/>
          <w:sz w:val="24"/>
          <w:szCs w:val="24"/>
          <w:highlight w:val="none"/>
        </w:rPr>
      </w:pPr>
    </w:p>
    <w:p w14:paraId="760DB29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374862EA">
      <w:pPr>
        <w:keepNext/>
        <w:keepLines/>
        <w:spacing w:line="360" w:lineRule="auto"/>
        <w:rPr>
          <w:rFonts w:hint="eastAsia" w:ascii="仿宋" w:hAnsi="仿宋" w:eastAsia="仿宋" w:cs="仿宋"/>
          <w:color w:val="auto"/>
          <w:sz w:val="24"/>
          <w:szCs w:val="24"/>
          <w:highlight w:val="none"/>
        </w:rPr>
      </w:pPr>
    </w:p>
    <w:p w14:paraId="1427F683">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v:textbox>
                </v:rect>
              </v:group>
            </w:pict>
          </mc:Fallback>
        </mc:AlternateContent>
      </w:r>
    </w:p>
    <w:p w14:paraId="316F2B0E">
      <w:pPr>
        <w:keepNext/>
        <w:keepLines/>
        <w:spacing w:line="360" w:lineRule="auto"/>
        <w:rPr>
          <w:rFonts w:hint="eastAsia" w:ascii="仿宋" w:hAnsi="仿宋" w:eastAsia="仿宋" w:cs="仿宋"/>
          <w:sz w:val="24"/>
          <w:szCs w:val="24"/>
          <w:highlight w:val="none"/>
        </w:rPr>
      </w:pPr>
    </w:p>
    <w:p w14:paraId="3FDDF4D1">
      <w:pPr>
        <w:keepNext/>
        <w:keepLines/>
        <w:spacing w:line="360" w:lineRule="auto"/>
        <w:rPr>
          <w:rFonts w:hint="eastAsia" w:ascii="仿宋" w:hAnsi="仿宋" w:eastAsia="仿宋" w:cs="仿宋"/>
          <w:sz w:val="24"/>
          <w:szCs w:val="24"/>
          <w:highlight w:val="none"/>
        </w:rPr>
      </w:pPr>
    </w:p>
    <w:p w14:paraId="1AFE74F7">
      <w:pPr>
        <w:keepNext/>
        <w:keepLines/>
        <w:spacing w:line="360" w:lineRule="auto"/>
        <w:rPr>
          <w:rFonts w:hint="eastAsia" w:ascii="仿宋" w:hAnsi="仿宋" w:eastAsia="仿宋" w:cs="仿宋"/>
          <w:sz w:val="24"/>
          <w:szCs w:val="24"/>
          <w:highlight w:val="none"/>
        </w:rPr>
      </w:pPr>
    </w:p>
    <w:p w14:paraId="6271B4FF">
      <w:pPr>
        <w:keepNext/>
        <w:keepLines/>
        <w:spacing w:line="360" w:lineRule="auto"/>
        <w:rPr>
          <w:rFonts w:hint="eastAsia" w:ascii="仿宋" w:hAnsi="仿宋" w:eastAsia="仿宋" w:cs="仿宋"/>
          <w:sz w:val="24"/>
          <w:szCs w:val="24"/>
          <w:highlight w:val="none"/>
        </w:rPr>
      </w:pPr>
    </w:p>
    <w:p w14:paraId="26EE9976">
      <w:pPr>
        <w:keepNext/>
        <w:keepLines/>
        <w:spacing w:line="360" w:lineRule="auto"/>
        <w:rPr>
          <w:rFonts w:hint="eastAsia" w:ascii="仿宋" w:hAnsi="仿宋" w:eastAsia="仿宋" w:cs="仿宋"/>
          <w:sz w:val="24"/>
          <w:szCs w:val="24"/>
          <w:highlight w:val="none"/>
        </w:rPr>
      </w:pPr>
    </w:p>
    <w:p w14:paraId="5974D3F6">
      <w:pPr>
        <w:keepNext/>
        <w:keepLines/>
        <w:spacing w:line="360" w:lineRule="auto"/>
        <w:rPr>
          <w:rFonts w:hint="eastAsia" w:ascii="仿宋" w:hAnsi="仿宋" w:eastAsia="仿宋" w:cs="仿宋"/>
          <w:sz w:val="24"/>
          <w:szCs w:val="24"/>
          <w:highlight w:val="none"/>
        </w:rPr>
      </w:pPr>
    </w:p>
    <w:p w14:paraId="71EFCF1A">
      <w:pPr>
        <w:keepNext/>
        <w:keepLines/>
        <w:spacing w:line="360" w:lineRule="auto"/>
        <w:rPr>
          <w:rFonts w:hint="eastAsia" w:ascii="仿宋" w:hAnsi="仿宋" w:eastAsia="仿宋" w:cs="仿宋"/>
          <w:sz w:val="24"/>
          <w:szCs w:val="24"/>
          <w:highlight w:val="none"/>
        </w:rPr>
      </w:pPr>
    </w:p>
    <w:p w14:paraId="4F574203">
      <w:pPr>
        <w:keepNext/>
        <w:keepLines/>
        <w:spacing w:line="360" w:lineRule="auto"/>
        <w:rPr>
          <w:rFonts w:hint="eastAsia" w:ascii="仿宋" w:hAnsi="仿宋" w:eastAsia="仿宋" w:cs="仿宋"/>
          <w:sz w:val="24"/>
          <w:szCs w:val="24"/>
          <w:highlight w:val="none"/>
        </w:rPr>
      </w:pPr>
    </w:p>
    <w:p w14:paraId="0A44A845">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0CE66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A42D93D">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630B5ED3">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4B0E45E7">
      <w:pPr>
        <w:spacing w:line="360" w:lineRule="auto"/>
        <w:jc w:val="center"/>
        <w:rPr>
          <w:rFonts w:hint="eastAsia" w:ascii="仿宋" w:hAnsi="仿宋" w:eastAsia="仿宋" w:cs="仿宋"/>
          <w:b/>
          <w:bCs/>
          <w:sz w:val="24"/>
          <w:szCs w:val="24"/>
          <w:highlight w:val="none"/>
        </w:rPr>
      </w:pPr>
    </w:p>
    <w:p w14:paraId="7A88D42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1E4F8F19">
      <w:pPr>
        <w:spacing w:line="360" w:lineRule="auto"/>
        <w:jc w:val="center"/>
        <w:rPr>
          <w:rFonts w:hint="eastAsia" w:ascii="仿宋" w:hAnsi="仿宋" w:eastAsia="仿宋" w:cs="仿宋"/>
          <w:sz w:val="24"/>
          <w:szCs w:val="24"/>
          <w:highlight w:val="none"/>
        </w:rPr>
      </w:pPr>
    </w:p>
    <w:p w14:paraId="3D39D7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1E27EF54">
      <w:pPr>
        <w:pStyle w:val="10"/>
        <w:ind w:left="660" w:leftChars="200" w:right="420" w:hanging="240" w:hangingChars="10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本授权书声明：注册于中华人民共和</w:t>
      </w:r>
      <w:r>
        <w:rPr>
          <w:rFonts w:hint="eastAsia" w:ascii="仿宋" w:hAnsi="仿宋" w:eastAsia="仿宋" w:cs="仿宋"/>
          <w:color w:val="auto"/>
          <w:sz w:val="24"/>
          <w:szCs w:val="24"/>
          <w:highlight w:val="none"/>
          <w:lang w:val="en-US" w:eastAsia="zh-CN"/>
          <w:woUserID w:val="1"/>
        </w:rPr>
        <w:t>国</w:t>
      </w:r>
      <w:r>
        <w:rPr>
          <w:rFonts w:hint="eastAsia" w:ascii="仿宋" w:hAnsi="仿宋" w:eastAsia="仿宋" w:cs="仿宋"/>
          <w:color w:val="auto"/>
          <w:sz w:val="24"/>
          <w:szCs w:val="24"/>
          <w:highlight w:val="none"/>
          <w:woUserID w:val="1"/>
        </w:rPr>
        <w:t>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（投标人名称）</w:t>
      </w:r>
    </w:p>
    <w:p w14:paraId="26E04335">
      <w:pPr>
        <w:pStyle w:val="10"/>
        <w:ind w:right="42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（法定代表人姓名、职务）代表我方授权在下面签字的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u w:val="single"/>
          <w:lang w:val="en-US" w:eastAsia="zh-CN"/>
          <w:woUserID w:val="1"/>
        </w:rPr>
        <w:t xml:space="preserve">     </w:t>
      </w:r>
      <w:r>
        <w:rPr>
          <w:rFonts w:hint="eastAsia" w:ascii="仿宋" w:hAnsi="仿宋" w:eastAsia="仿宋" w:cs="仿宋"/>
          <w:color w:val="auto"/>
          <w:sz w:val="24"/>
          <w:szCs w:val="24"/>
          <w:highlight w:val="none"/>
          <w:woUserID w:val="1"/>
        </w:rPr>
        <w:t>（被授权人的姓名、职务）为本公司的合法代表人，</w:t>
      </w:r>
      <w:r>
        <w:rPr>
          <w:rFonts w:hint="eastAsia" w:ascii="仿宋" w:hAnsi="仿宋" w:eastAsia="仿宋" w:cs="仿宋"/>
          <w:color w:val="auto"/>
          <w:sz w:val="24"/>
          <w:szCs w:val="24"/>
          <w:highlight w:val="none"/>
          <w:lang w:val="en-US" w:eastAsia="zh-CN"/>
          <w:woUserID w:val="1"/>
        </w:rPr>
        <w:t>为</w:t>
      </w:r>
      <w:r>
        <w:rPr>
          <w:rFonts w:hint="eastAsia" w:ascii="仿宋" w:hAnsi="仿宋" w:eastAsia="仿宋" w:cs="仿宋"/>
          <w:color w:val="auto"/>
          <w:sz w:val="24"/>
          <w:szCs w:val="24"/>
          <w:highlight w:val="none"/>
          <w:woUserID w:val="1"/>
        </w:rPr>
        <w:t>深圳</w:t>
      </w:r>
      <w:r>
        <w:rPr>
          <w:rFonts w:hint="eastAsia" w:ascii="仿宋" w:hAnsi="仿宋" w:eastAsia="仿宋" w:cs="仿宋"/>
          <w:color w:val="auto"/>
          <w:sz w:val="24"/>
          <w:szCs w:val="24"/>
          <w:highlight w:val="none"/>
          <w:lang w:val="en-US" w:eastAsia="zh-CN"/>
          <w:woUserID w:val="1"/>
        </w:rPr>
        <w:t>市龙岗中心医院</w:t>
      </w:r>
      <w:r>
        <w:rPr>
          <w:rFonts w:hint="eastAsia" w:ascii="仿宋" w:hAnsi="仿宋" w:eastAsia="仿宋" w:cs="仿宋"/>
          <w:color w:val="auto"/>
          <w:sz w:val="24"/>
          <w:szCs w:val="24"/>
          <w:highlight w:val="none"/>
          <w:u w:val="single"/>
          <w:woUserID w:val="1"/>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woUserID w:val="1"/>
        </w:rPr>
        <w:t>采购项目</w:t>
      </w:r>
      <w:r>
        <w:rPr>
          <w:rFonts w:hint="eastAsia" w:ascii="仿宋" w:hAnsi="仿宋" w:eastAsia="仿宋" w:cs="仿宋"/>
          <w:color w:val="auto"/>
          <w:sz w:val="24"/>
          <w:szCs w:val="24"/>
          <w:highlight w:val="none"/>
          <w:lang w:val="en-US" w:eastAsia="zh-CN"/>
          <w:woUserID w:val="1"/>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项目</w:t>
      </w:r>
      <w:r>
        <w:rPr>
          <w:rFonts w:hint="eastAsia" w:ascii="仿宋" w:hAnsi="仿宋" w:eastAsia="仿宋" w:cs="仿宋"/>
          <w:color w:val="auto"/>
          <w:sz w:val="24"/>
          <w:szCs w:val="24"/>
          <w:highlight w:val="none"/>
          <w:woUserID w:val="1"/>
        </w:rPr>
        <w:t>编号：</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的投标和合同执行，以我方的名义处理一切与之有关的事宜。</w:t>
      </w:r>
    </w:p>
    <w:p w14:paraId="3540F278">
      <w:pPr>
        <w:spacing w:line="360" w:lineRule="auto"/>
        <w:rPr>
          <w:rFonts w:hint="eastAsia" w:ascii="仿宋" w:hAnsi="仿宋" w:eastAsia="仿宋" w:cs="仿宋"/>
          <w:color w:val="auto"/>
          <w:sz w:val="24"/>
          <w:szCs w:val="24"/>
          <w:highlight w:val="none"/>
        </w:rPr>
      </w:pPr>
    </w:p>
    <w:p w14:paraId="1BD529B0">
      <w:pPr>
        <w:pStyle w:val="10"/>
        <w:rPr>
          <w:rFonts w:hint="eastAsia"/>
        </w:rPr>
      </w:pPr>
    </w:p>
    <w:p w14:paraId="4A5EB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74E4515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5DE463E">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408996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BB6E94B">
      <w:pPr>
        <w:widowControl/>
        <w:autoSpaceDE w:val="0"/>
        <w:autoSpaceDN w:val="0"/>
        <w:ind w:right="893"/>
        <w:textAlignment w:val="bottom"/>
        <w:rPr>
          <w:rFonts w:hint="eastAsia" w:ascii="仿宋" w:hAnsi="仿宋" w:eastAsia="仿宋" w:cs="仿宋"/>
          <w:color w:val="auto"/>
          <w:sz w:val="24"/>
          <w:szCs w:val="24"/>
          <w:highlight w:val="none"/>
        </w:rPr>
      </w:pPr>
    </w:p>
    <w:p w14:paraId="1F6DC95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311758B9">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v:textbox>
                </v:rect>
              </v:group>
            </w:pict>
          </mc:Fallback>
        </mc:AlternateContent>
      </w:r>
    </w:p>
    <w:p w14:paraId="2A3B5DBA">
      <w:pPr>
        <w:keepNext/>
        <w:keepLines/>
        <w:spacing w:line="360" w:lineRule="auto"/>
        <w:rPr>
          <w:rFonts w:hint="eastAsia" w:ascii="仿宋" w:hAnsi="仿宋" w:eastAsia="仿宋" w:cs="仿宋"/>
          <w:b/>
          <w:sz w:val="24"/>
          <w:szCs w:val="24"/>
          <w:highlight w:val="none"/>
        </w:rPr>
      </w:pPr>
    </w:p>
    <w:p w14:paraId="62F25883">
      <w:pPr>
        <w:keepNext/>
        <w:keepLines/>
        <w:spacing w:line="360" w:lineRule="auto"/>
        <w:rPr>
          <w:rFonts w:hint="eastAsia" w:ascii="仿宋" w:hAnsi="仿宋" w:eastAsia="仿宋" w:cs="仿宋"/>
          <w:b/>
          <w:sz w:val="24"/>
          <w:szCs w:val="24"/>
          <w:highlight w:val="none"/>
        </w:rPr>
      </w:pPr>
    </w:p>
    <w:p w14:paraId="2E366524">
      <w:pPr>
        <w:keepNext/>
        <w:keepLines/>
        <w:spacing w:line="360" w:lineRule="auto"/>
        <w:rPr>
          <w:rFonts w:hint="eastAsia" w:ascii="仿宋" w:hAnsi="仿宋" w:eastAsia="仿宋" w:cs="仿宋"/>
          <w:b/>
          <w:sz w:val="24"/>
          <w:szCs w:val="24"/>
          <w:highlight w:val="none"/>
        </w:rPr>
      </w:pPr>
    </w:p>
    <w:p w14:paraId="712851A7">
      <w:pPr>
        <w:keepNext/>
        <w:keepLines/>
        <w:spacing w:line="360" w:lineRule="auto"/>
        <w:rPr>
          <w:rFonts w:hint="eastAsia" w:ascii="仿宋" w:hAnsi="仿宋" w:eastAsia="仿宋" w:cs="仿宋"/>
          <w:b/>
          <w:sz w:val="24"/>
          <w:szCs w:val="24"/>
          <w:highlight w:val="none"/>
        </w:rPr>
      </w:pPr>
    </w:p>
    <w:p w14:paraId="4F19B627">
      <w:pPr>
        <w:keepNext/>
        <w:keepLines/>
        <w:spacing w:line="360" w:lineRule="auto"/>
        <w:rPr>
          <w:rFonts w:hint="eastAsia" w:ascii="仿宋" w:hAnsi="仿宋" w:eastAsia="仿宋" w:cs="仿宋"/>
          <w:b/>
          <w:sz w:val="24"/>
          <w:szCs w:val="24"/>
          <w:highlight w:val="none"/>
        </w:rPr>
      </w:pPr>
    </w:p>
    <w:p w14:paraId="1BA6BC85">
      <w:pPr>
        <w:keepNext/>
        <w:keepLines/>
        <w:spacing w:line="360" w:lineRule="auto"/>
        <w:rPr>
          <w:rFonts w:hint="eastAsia" w:ascii="仿宋" w:hAnsi="仿宋" w:eastAsia="仿宋" w:cs="仿宋"/>
          <w:b/>
          <w:sz w:val="24"/>
          <w:szCs w:val="24"/>
          <w:highlight w:val="none"/>
        </w:rPr>
      </w:pPr>
    </w:p>
    <w:p w14:paraId="4E6024F6">
      <w:pPr>
        <w:rPr>
          <w:rFonts w:hint="eastAsia" w:ascii="仿宋" w:hAnsi="仿宋" w:eastAsia="仿宋" w:cs="仿宋"/>
          <w:b/>
          <w:bCs/>
          <w:color w:val="auto"/>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EC7A5E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1917A562">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109118F7">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27065DCB">
      <w:pPr>
        <w:spacing w:line="75" w:lineRule="exact"/>
        <w:rPr>
          <w:rFonts w:hint="eastAsia" w:ascii="仿宋" w:hAnsi="仿宋" w:eastAsia="仿宋" w:cs="仿宋"/>
          <w:highlight w:val="none"/>
        </w:rPr>
      </w:pPr>
    </w:p>
    <w:tbl>
      <w:tblPr>
        <w:tblStyle w:val="47"/>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632"/>
        <w:gridCol w:w="948"/>
        <w:gridCol w:w="1298"/>
        <w:gridCol w:w="858"/>
        <w:gridCol w:w="1015"/>
        <w:gridCol w:w="1497"/>
        <w:gridCol w:w="1418"/>
      </w:tblGrid>
      <w:tr w14:paraId="2674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5" w:type="pct"/>
            <w:gridSpan w:val="2"/>
            <w:noWrap w:val="0"/>
            <w:vAlign w:val="center"/>
          </w:tcPr>
          <w:p w14:paraId="6151E98D">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采购人</w:t>
            </w:r>
          </w:p>
        </w:tc>
        <w:tc>
          <w:tcPr>
            <w:tcW w:w="1346" w:type="pct"/>
            <w:gridSpan w:val="2"/>
            <w:noWrap w:val="0"/>
            <w:vAlign w:val="center"/>
          </w:tcPr>
          <w:p w14:paraId="0DED1803">
            <w:pPr>
              <w:spacing w:line="240" w:lineRule="auto"/>
              <w:jc w:val="center"/>
              <w:rPr>
                <w:rFonts w:hint="default" w:ascii="Calibri" w:hAnsi="Calibri" w:eastAsia="宋体" w:cs="Calibri"/>
                <w:kern w:val="2"/>
                <w:sz w:val="24"/>
                <w:szCs w:val="24"/>
                <w:highlight w:val="none"/>
                <w:lang w:val="en-US" w:eastAsia="zh-CN" w:bidi="ar-SA"/>
              </w:rPr>
            </w:pPr>
            <w:r>
              <w:rPr>
                <w:rFonts w:hint="eastAsia" w:ascii="仿宋" w:hAnsi="仿宋" w:eastAsia="仿宋" w:cs="仿宋"/>
                <w:spacing w:val="-4"/>
                <w:kern w:val="2"/>
                <w:sz w:val="24"/>
                <w:szCs w:val="24"/>
                <w:highlight w:val="none"/>
                <w:lang w:val="en-US" w:eastAsia="zh-CN" w:bidi="ar-SA"/>
              </w:rPr>
              <w:t>深圳市龙岗中心医院</w:t>
            </w:r>
          </w:p>
        </w:tc>
        <w:tc>
          <w:tcPr>
            <w:tcW w:w="1122" w:type="pct"/>
            <w:gridSpan w:val="2"/>
            <w:noWrap w:val="0"/>
            <w:vAlign w:val="center"/>
          </w:tcPr>
          <w:p w14:paraId="615C28A1">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tc>
        <w:tc>
          <w:tcPr>
            <w:tcW w:w="1745" w:type="pct"/>
            <w:gridSpan w:val="2"/>
            <w:noWrap w:val="0"/>
            <w:vAlign w:val="center"/>
          </w:tcPr>
          <w:p w14:paraId="7ECEAC03">
            <w:pPr>
              <w:jc w:val="center"/>
              <w:rPr>
                <w:rFonts w:hint="eastAsia" w:ascii="仿宋" w:hAnsi="仿宋" w:eastAsia="仿宋" w:cs="仿宋"/>
                <w:sz w:val="24"/>
                <w:szCs w:val="24"/>
                <w:highlight w:val="none"/>
                <w:lang w:val="en-US" w:eastAsia="zh-CN"/>
              </w:rPr>
            </w:pPr>
          </w:p>
        </w:tc>
      </w:tr>
      <w:tr w14:paraId="6D27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85" w:type="pct"/>
            <w:gridSpan w:val="2"/>
            <w:noWrap w:val="0"/>
            <w:vAlign w:val="center"/>
          </w:tcPr>
          <w:p w14:paraId="1190CC94">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投标（响应）供应商</w:t>
            </w:r>
          </w:p>
        </w:tc>
        <w:tc>
          <w:tcPr>
            <w:tcW w:w="1346" w:type="pct"/>
            <w:gridSpan w:val="2"/>
            <w:noWrap w:val="0"/>
            <w:vAlign w:val="center"/>
          </w:tcPr>
          <w:p w14:paraId="41763284">
            <w:pPr>
              <w:jc w:val="center"/>
              <w:rPr>
                <w:rFonts w:hint="eastAsia" w:ascii="仿宋" w:hAnsi="仿宋" w:eastAsia="仿宋" w:cs="仿宋"/>
                <w:sz w:val="24"/>
                <w:szCs w:val="24"/>
                <w:highlight w:val="none"/>
                <w:lang w:val="en-US" w:eastAsia="zh-CN"/>
              </w:rPr>
            </w:pPr>
          </w:p>
        </w:tc>
        <w:tc>
          <w:tcPr>
            <w:tcW w:w="1122" w:type="pct"/>
            <w:gridSpan w:val="2"/>
            <w:noWrap w:val="0"/>
            <w:vAlign w:val="center"/>
          </w:tcPr>
          <w:p w14:paraId="768011ED">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供应商统一社会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信用代码</w:t>
            </w:r>
          </w:p>
        </w:tc>
        <w:tc>
          <w:tcPr>
            <w:tcW w:w="1745" w:type="pct"/>
            <w:gridSpan w:val="2"/>
            <w:noWrap w:val="0"/>
            <w:vAlign w:val="center"/>
          </w:tcPr>
          <w:p w14:paraId="00CA7B84">
            <w:pPr>
              <w:jc w:val="center"/>
              <w:rPr>
                <w:rFonts w:hint="eastAsia" w:ascii="仿宋" w:hAnsi="仿宋" w:eastAsia="仿宋" w:cs="仿宋"/>
                <w:sz w:val="24"/>
                <w:szCs w:val="24"/>
                <w:highlight w:val="none"/>
              </w:rPr>
            </w:pPr>
          </w:p>
        </w:tc>
      </w:tr>
      <w:tr w14:paraId="5A08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14:paraId="14906559">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A9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06" w:type="pct"/>
            <w:noWrap w:val="0"/>
            <w:vAlign w:val="center"/>
          </w:tcPr>
          <w:p w14:paraId="7BF3E595">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noWrap w:val="0"/>
            <w:vAlign w:val="center"/>
          </w:tcPr>
          <w:p w14:paraId="1F3627EB">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778" w:type="pct"/>
            <w:noWrap w:val="0"/>
            <w:vAlign w:val="center"/>
          </w:tcPr>
          <w:p w14:paraId="789846BF">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122" w:type="pct"/>
            <w:gridSpan w:val="2"/>
            <w:noWrap w:val="0"/>
            <w:vAlign w:val="center"/>
          </w:tcPr>
          <w:p w14:paraId="1BDCF23E">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897" w:type="pct"/>
            <w:noWrap w:val="0"/>
            <w:vAlign w:val="center"/>
          </w:tcPr>
          <w:p w14:paraId="4DAE34A3">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5129903D">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848" w:type="pct"/>
            <w:noWrap w:val="0"/>
            <w:vAlign w:val="center"/>
          </w:tcPr>
          <w:p w14:paraId="68EE0208">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5B7A49BC">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5CD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6" w:type="pct"/>
            <w:noWrap w:val="0"/>
            <w:vAlign w:val="center"/>
          </w:tcPr>
          <w:p w14:paraId="40CEE4D1">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noWrap w:val="0"/>
            <w:vAlign w:val="center"/>
          </w:tcPr>
          <w:p w14:paraId="1016E1AF">
            <w:pPr>
              <w:pStyle w:val="46"/>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778" w:type="pct"/>
            <w:noWrap w:val="0"/>
            <w:vAlign w:val="center"/>
          </w:tcPr>
          <w:p w14:paraId="621D541C">
            <w:pPr>
              <w:jc w:val="center"/>
              <w:rPr>
                <w:rFonts w:hint="eastAsia" w:ascii="仿宋" w:hAnsi="仿宋" w:eastAsia="仿宋" w:cs="仿宋"/>
                <w:sz w:val="24"/>
                <w:szCs w:val="24"/>
                <w:highlight w:val="none"/>
              </w:rPr>
            </w:pPr>
          </w:p>
        </w:tc>
        <w:tc>
          <w:tcPr>
            <w:tcW w:w="1122" w:type="pct"/>
            <w:gridSpan w:val="2"/>
            <w:noWrap w:val="0"/>
            <w:vAlign w:val="center"/>
          </w:tcPr>
          <w:p w14:paraId="698D68D8">
            <w:pPr>
              <w:jc w:val="center"/>
              <w:rPr>
                <w:rFonts w:hint="eastAsia" w:ascii="仿宋" w:hAnsi="仿宋" w:eastAsia="仿宋" w:cs="仿宋"/>
                <w:sz w:val="24"/>
                <w:szCs w:val="24"/>
                <w:highlight w:val="none"/>
              </w:rPr>
            </w:pPr>
          </w:p>
        </w:tc>
        <w:tc>
          <w:tcPr>
            <w:tcW w:w="897" w:type="pct"/>
            <w:noWrap w:val="0"/>
            <w:vAlign w:val="center"/>
          </w:tcPr>
          <w:p w14:paraId="2629FC53">
            <w:pPr>
              <w:jc w:val="center"/>
              <w:rPr>
                <w:rFonts w:hint="eastAsia" w:ascii="仿宋" w:hAnsi="仿宋" w:eastAsia="仿宋" w:cs="仿宋"/>
                <w:sz w:val="24"/>
                <w:szCs w:val="24"/>
                <w:highlight w:val="none"/>
              </w:rPr>
            </w:pPr>
          </w:p>
        </w:tc>
        <w:tc>
          <w:tcPr>
            <w:tcW w:w="848" w:type="pct"/>
            <w:noWrap w:val="0"/>
            <w:vAlign w:val="center"/>
          </w:tcPr>
          <w:p w14:paraId="693A5689">
            <w:pPr>
              <w:jc w:val="center"/>
              <w:rPr>
                <w:rFonts w:hint="eastAsia" w:ascii="仿宋" w:hAnsi="仿宋" w:eastAsia="仿宋" w:cs="仿宋"/>
                <w:sz w:val="24"/>
                <w:szCs w:val="24"/>
                <w:highlight w:val="none"/>
              </w:rPr>
            </w:pPr>
          </w:p>
        </w:tc>
      </w:tr>
      <w:tr w14:paraId="3656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noWrap w:val="0"/>
            <w:vAlign w:val="center"/>
          </w:tcPr>
          <w:p w14:paraId="30CDCBFC">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noWrap w:val="0"/>
            <w:vAlign w:val="center"/>
          </w:tcPr>
          <w:p w14:paraId="237290B2">
            <w:pPr>
              <w:pStyle w:val="46"/>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778" w:type="pct"/>
            <w:noWrap w:val="0"/>
            <w:vAlign w:val="center"/>
          </w:tcPr>
          <w:p w14:paraId="407C612A">
            <w:pPr>
              <w:jc w:val="center"/>
              <w:rPr>
                <w:rFonts w:hint="eastAsia" w:ascii="仿宋" w:hAnsi="仿宋" w:eastAsia="仿宋" w:cs="仿宋"/>
                <w:sz w:val="24"/>
                <w:szCs w:val="24"/>
                <w:highlight w:val="none"/>
              </w:rPr>
            </w:pPr>
          </w:p>
        </w:tc>
        <w:tc>
          <w:tcPr>
            <w:tcW w:w="1122" w:type="pct"/>
            <w:gridSpan w:val="2"/>
            <w:noWrap w:val="0"/>
            <w:vAlign w:val="center"/>
          </w:tcPr>
          <w:p w14:paraId="4C428D61">
            <w:pPr>
              <w:jc w:val="center"/>
              <w:rPr>
                <w:rFonts w:hint="eastAsia" w:ascii="仿宋" w:hAnsi="仿宋" w:eastAsia="仿宋" w:cs="仿宋"/>
                <w:sz w:val="24"/>
                <w:szCs w:val="24"/>
                <w:highlight w:val="none"/>
              </w:rPr>
            </w:pPr>
          </w:p>
        </w:tc>
        <w:tc>
          <w:tcPr>
            <w:tcW w:w="897" w:type="pct"/>
            <w:noWrap w:val="0"/>
            <w:vAlign w:val="center"/>
          </w:tcPr>
          <w:p w14:paraId="265A1224">
            <w:pPr>
              <w:jc w:val="center"/>
              <w:rPr>
                <w:rFonts w:hint="eastAsia" w:ascii="仿宋" w:hAnsi="仿宋" w:eastAsia="仿宋" w:cs="仿宋"/>
                <w:sz w:val="24"/>
                <w:szCs w:val="24"/>
                <w:highlight w:val="none"/>
              </w:rPr>
            </w:pPr>
          </w:p>
        </w:tc>
        <w:tc>
          <w:tcPr>
            <w:tcW w:w="848" w:type="pct"/>
            <w:noWrap w:val="0"/>
            <w:vAlign w:val="center"/>
          </w:tcPr>
          <w:p w14:paraId="0BCB701C">
            <w:pPr>
              <w:jc w:val="center"/>
              <w:rPr>
                <w:rFonts w:hint="eastAsia" w:ascii="仿宋" w:hAnsi="仿宋" w:eastAsia="仿宋" w:cs="仿宋"/>
                <w:sz w:val="24"/>
                <w:szCs w:val="24"/>
                <w:highlight w:val="none"/>
              </w:rPr>
            </w:pPr>
          </w:p>
        </w:tc>
      </w:tr>
      <w:tr w14:paraId="7881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noWrap w:val="0"/>
            <w:vAlign w:val="center"/>
          </w:tcPr>
          <w:p w14:paraId="00A5B5E8">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47" w:type="pct"/>
            <w:gridSpan w:val="2"/>
            <w:noWrap w:val="0"/>
            <w:vAlign w:val="center"/>
          </w:tcPr>
          <w:p w14:paraId="784335B8">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778" w:type="pct"/>
            <w:noWrap w:val="0"/>
            <w:vAlign w:val="center"/>
          </w:tcPr>
          <w:p w14:paraId="3F5D7D82">
            <w:pPr>
              <w:spacing w:line="240" w:lineRule="auto"/>
              <w:ind w:left="0"/>
              <w:jc w:val="center"/>
              <w:rPr>
                <w:rFonts w:hint="eastAsia" w:ascii="仿宋" w:hAnsi="仿宋" w:eastAsia="仿宋" w:cs="仿宋"/>
                <w:sz w:val="24"/>
                <w:szCs w:val="24"/>
                <w:highlight w:val="none"/>
              </w:rPr>
            </w:pPr>
          </w:p>
        </w:tc>
        <w:tc>
          <w:tcPr>
            <w:tcW w:w="1122" w:type="pct"/>
            <w:gridSpan w:val="2"/>
            <w:noWrap w:val="0"/>
            <w:vAlign w:val="center"/>
          </w:tcPr>
          <w:p w14:paraId="7552CD8B">
            <w:pPr>
              <w:spacing w:line="240" w:lineRule="auto"/>
              <w:ind w:left="0"/>
              <w:jc w:val="center"/>
              <w:rPr>
                <w:rFonts w:hint="eastAsia" w:ascii="仿宋" w:hAnsi="仿宋" w:eastAsia="仿宋" w:cs="仿宋"/>
                <w:sz w:val="24"/>
                <w:szCs w:val="24"/>
                <w:highlight w:val="none"/>
              </w:rPr>
            </w:pPr>
          </w:p>
        </w:tc>
        <w:tc>
          <w:tcPr>
            <w:tcW w:w="897" w:type="pct"/>
            <w:noWrap w:val="0"/>
            <w:vAlign w:val="center"/>
          </w:tcPr>
          <w:p w14:paraId="11423C17">
            <w:pPr>
              <w:spacing w:line="240" w:lineRule="auto"/>
              <w:ind w:left="0"/>
              <w:jc w:val="center"/>
              <w:rPr>
                <w:rFonts w:hint="eastAsia" w:ascii="仿宋" w:hAnsi="仿宋" w:eastAsia="仿宋" w:cs="仿宋"/>
                <w:sz w:val="24"/>
                <w:szCs w:val="24"/>
                <w:highlight w:val="none"/>
              </w:rPr>
            </w:pPr>
          </w:p>
        </w:tc>
        <w:tc>
          <w:tcPr>
            <w:tcW w:w="848" w:type="pct"/>
            <w:noWrap w:val="0"/>
            <w:vAlign w:val="center"/>
          </w:tcPr>
          <w:p w14:paraId="2102A632">
            <w:pPr>
              <w:spacing w:line="240" w:lineRule="auto"/>
              <w:ind w:left="0"/>
              <w:jc w:val="center"/>
              <w:rPr>
                <w:rFonts w:hint="eastAsia" w:ascii="仿宋" w:hAnsi="仿宋" w:eastAsia="仿宋" w:cs="仿宋"/>
                <w:sz w:val="24"/>
                <w:szCs w:val="24"/>
                <w:highlight w:val="none"/>
              </w:rPr>
            </w:pPr>
          </w:p>
        </w:tc>
      </w:tr>
      <w:tr w14:paraId="7A3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noWrap w:val="0"/>
            <w:vAlign w:val="center"/>
          </w:tcPr>
          <w:p w14:paraId="47E43251">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47" w:type="pct"/>
            <w:gridSpan w:val="2"/>
            <w:noWrap w:val="0"/>
            <w:vAlign w:val="center"/>
          </w:tcPr>
          <w:p w14:paraId="63945406">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778" w:type="pct"/>
            <w:noWrap w:val="0"/>
            <w:vAlign w:val="center"/>
          </w:tcPr>
          <w:p w14:paraId="0E3416A5">
            <w:pPr>
              <w:spacing w:line="240" w:lineRule="auto"/>
              <w:ind w:left="0"/>
              <w:jc w:val="center"/>
              <w:rPr>
                <w:rFonts w:hint="eastAsia" w:ascii="仿宋" w:hAnsi="仿宋" w:eastAsia="仿宋" w:cs="仿宋"/>
                <w:sz w:val="24"/>
                <w:szCs w:val="24"/>
                <w:highlight w:val="none"/>
              </w:rPr>
            </w:pPr>
          </w:p>
        </w:tc>
        <w:tc>
          <w:tcPr>
            <w:tcW w:w="1122" w:type="pct"/>
            <w:gridSpan w:val="2"/>
            <w:noWrap w:val="0"/>
            <w:vAlign w:val="center"/>
          </w:tcPr>
          <w:p w14:paraId="2360D09A">
            <w:pPr>
              <w:spacing w:line="240" w:lineRule="auto"/>
              <w:ind w:left="0"/>
              <w:jc w:val="center"/>
              <w:rPr>
                <w:rFonts w:hint="eastAsia" w:ascii="仿宋" w:hAnsi="仿宋" w:eastAsia="仿宋" w:cs="仿宋"/>
                <w:sz w:val="24"/>
                <w:szCs w:val="24"/>
                <w:highlight w:val="none"/>
              </w:rPr>
            </w:pPr>
          </w:p>
        </w:tc>
        <w:tc>
          <w:tcPr>
            <w:tcW w:w="897" w:type="pct"/>
            <w:noWrap w:val="0"/>
            <w:vAlign w:val="center"/>
          </w:tcPr>
          <w:p w14:paraId="534795BE">
            <w:pPr>
              <w:spacing w:line="240" w:lineRule="auto"/>
              <w:ind w:left="0"/>
              <w:jc w:val="center"/>
              <w:rPr>
                <w:rFonts w:hint="eastAsia" w:ascii="仿宋" w:hAnsi="仿宋" w:eastAsia="仿宋" w:cs="仿宋"/>
                <w:sz w:val="24"/>
                <w:szCs w:val="24"/>
                <w:highlight w:val="none"/>
              </w:rPr>
            </w:pPr>
          </w:p>
        </w:tc>
        <w:tc>
          <w:tcPr>
            <w:tcW w:w="848" w:type="pct"/>
            <w:noWrap w:val="0"/>
            <w:vAlign w:val="center"/>
          </w:tcPr>
          <w:p w14:paraId="38DDA62E">
            <w:pPr>
              <w:spacing w:line="240" w:lineRule="auto"/>
              <w:ind w:left="0"/>
              <w:jc w:val="center"/>
              <w:rPr>
                <w:rFonts w:hint="eastAsia" w:ascii="仿宋" w:hAnsi="仿宋" w:eastAsia="仿宋" w:cs="仿宋"/>
                <w:sz w:val="24"/>
                <w:szCs w:val="24"/>
                <w:highlight w:val="none"/>
              </w:rPr>
            </w:pPr>
          </w:p>
        </w:tc>
      </w:tr>
      <w:tr w14:paraId="6B7F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noWrap w:val="0"/>
            <w:vAlign w:val="center"/>
          </w:tcPr>
          <w:p w14:paraId="7854E601">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47" w:type="pct"/>
            <w:gridSpan w:val="2"/>
            <w:noWrap w:val="0"/>
            <w:vAlign w:val="center"/>
          </w:tcPr>
          <w:p w14:paraId="49B0F137">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778" w:type="pct"/>
            <w:noWrap w:val="0"/>
            <w:vAlign w:val="center"/>
          </w:tcPr>
          <w:p w14:paraId="3F97D62D">
            <w:pPr>
              <w:spacing w:line="240" w:lineRule="auto"/>
              <w:ind w:left="0"/>
              <w:jc w:val="center"/>
              <w:rPr>
                <w:rFonts w:hint="eastAsia" w:ascii="仿宋" w:hAnsi="仿宋" w:eastAsia="仿宋" w:cs="仿宋"/>
                <w:sz w:val="24"/>
                <w:szCs w:val="24"/>
                <w:highlight w:val="none"/>
              </w:rPr>
            </w:pPr>
          </w:p>
        </w:tc>
        <w:tc>
          <w:tcPr>
            <w:tcW w:w="1122" w:type="pct"/>
            <w:gridSpan w:val="2"/>
            <w:noWrap w:val="0"/>
            <w:vAlign w:val="center"/>
          </w:tcPr>
          <w:p w14:paraId="203B1A2B">
            <w:pPr>
              <w:spacing w:line="240" w:lineRule="auto"/>
              <w:ind w:left="0"/>
              <w:jc w:val="center"/>
              <w:rPr>
                <w:rFonts w:hint="eastAsia" w:ascii="仿宋" w:hAnsi="仿宋" w:eastAsia="仿宋" w:cs="仿宋"/>
                <w:sz w:val="24"/>
                <w:szCs w:val="24"/>
                <w:highlight w:val="none"/>
              </w:rPr>
            </w:pPr>
          </w:p>
        </w:tc>
        <w:tc>
          <w:tcPr>
            <w:tcW w:w="897" w:type="pct"/>
            <w:noWrap w:val="0"/>
            <w:vAlign w:val="center"/>
          </w:tcPr>
          <w:p w14:paraId="5AA86109">
            <w:pPr>
              <w:spacing w:line="240" w:lineRule="auto"/>
              <w:ind w:left="0"/>
              <w:jc w:val="center"/>
              <w:rPr>
                <w:rFonts w:hint="eastAsia" w:ascii="仿宋" w:hAnsi="仿宋" w:eastAsia="仿宋" w:cs="仿宋"/>
                <w:sz w:val="24"/>
                <w:szCs w:val="24"/>
                <w:highlight w:val="none"/>
              </w:rPr>
            </w:pPr>
          </w:p>
        </w:tc>
        <w:tc>
          <w:tcPr>
            <w:tcW w:w="848" w:type="pct"/>
            <w:noWrap w:val="0"/>
            <w:vAlign w:val="center"/>
          </w:tcPr>
          <w:p w14:paraId="290AE03B">
            <w:pPr>
              <w:spacing w:line="240" w:lineRule="auto"/>
              <w:ind w:left="0"/>
              <w:jc w:val="center"/>
              <w:rPr>
                <w:rFonts w:hint="eastAsia" w:ascii="仿宋" w:hAnsi="仿宋" w:eastAsia="仿宋" w:cs="仿宋"/>
                <w:sz w:val="24"/>
                <w:szCs w:val="24"/>
                <w:highlight w:val="none"/>
                <w:lang w:eastAsia="zh-CN"/>
              </w:rPr>
            </w:pPr>
          </w:p>
        </w:tc>
      </w:tr>
      <w:tr w14:paraId="6F51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000" w:type="pct"/>
            <w:gridSpan w:val="8"/>
            <w:noWrap w:val="0"/>
            <w:vAlign w:val="center"/>
          </w:tcPr>
          <w:p w14:paraId="62986FA2">
            <w:pPr>
              <w:pStyle w:val="46"/>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2683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14:paraId="19F6F481">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24A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noWrap w:val="0"/>
            <w:vAlign w:val="center"/>
          </w:tcPr>
          <w:p w14:paraId="4F022C47">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noWrap w:val="0"/>
            <w:vAlign w:val="center"/>
          </w:tcPr>
          <w:p w14:paraId="19917E73">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1292" w:type="pct"/>
            <w:gridSpan w:val="2"/>
            <w:noWrap w:val="0"/>
            <w:vAlign w:val="center"/>
          </w:tcPr>
          <w:p w14:paraId="4DF799B8">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2353" w:type="pct"/>
            <w:gridSpan w:val="3"/>
            <w:noWrap w:val="0"/>
            <w:vAlign w:val="center"/>
          </w:tcPr>
          <w:p w14:paraId="1AB03EE8">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38BA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406" w:type="pct"/>
            <w:noWrap w:val="0"/>
            <w:vAlign w:val="center"/>
          </w:tcPr>
          <w:p w14:paraId="56E1E48C">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noWrap w:val="0"/>
            <w:vAlign w:val="center"/>
          </w:tcPr>
          <w:p w14:paraId="2383DAF3">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1292" w:type="pct"/>
            <w:gridSpan w:val="2"/>
            <w:noWrap w:val="0"/>
            <w:vAlign w:val="center"/>
          </w:tcPr>
          <w:p w14:paraId="546C4CA3">
            <w:pPr>
              <w:spacing w:line="240" w:lineRule="auto"/>
              <w:ind w:left="0"/>
              <w:jc w:val="center"/>
              <w:rPr>
                <w:rFonts w:hint="eastAsia" w:ascii="仿宋" w:hAnsi="仿宋" w:eastAsia="仿宋" w:cs="仿宋"/>
                <w:sz w:val="24"/>
                <w:szCs w:val="24"/>
                <w:highlight w:val="none"/>
              </w:rPr>
            </w:pPr>
          </w:p>
        </w:tc>
        <w:tc>
          <w:tcPr>
            <w:tcW w:w="2353" w:type="pct"/>
            <w:gridSpan w:val="3"/>
            <w:noWrap w:val="0"/>
            <w:vAlign w:val="center"/>
          </w:tcPr>
          <w:p w14:paraId="685B62E1">
            <w:pPr>
              <w:pStyle w:val="46"/>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7EF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06" w:type="pct"/>
            <w:noWrap w:val="0"/>
            <w:vAlign w:val="center"/>
          </w:tcPr>
          <w:p w14:paraId="46CF70CC">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noWrap w:val="0"/>
            <w:vAlign w:val="center"/>
          </w:tcPr>
          <w:p w14:paraId="204E27E1">
            <w:pPr>
              <w:pStyle w:val="46"/>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1292" w:type="pct"/>
            <w:gridSpan w:val="2"/>
            <w:noWrap w:val="0"/>
            <w:vAlign w:val="center"/>
          </w:tcPr>
          <w:p w14:paraId="67010658">
            <w:pPr>
              <w:spacing w:line="240" w:lineRule="auto"/>
              <w:ind w:left="0"/>
              <w:jc w:val="center"/>
              <w:rPr>
                <w:rFonts w:hint="eastAsia" w:ascii="仿宋" w:hAnsi="仿宋" w:eastAsia="仿宋" w:cs="仿宋"/>
                <w:sz w:val="24"/>
                <w:szCs w:val="24"/>
                <w:highlight w:val="none"/>
              </w:rPr>
            </w:pPr>
          </w:p>
        </w:tc>
        <w:tc>
          <w:tcPr>
            <w:tcW w:w="2353" w:type="pct"/>
            <w:gridSpan w:val="3"/>
            <w:noWrap w:val="0"/>
            <w:vAlign w:val="center"/>
          </w:tcPr>
          <w:p w14:paraId="7DABD43E">
            <w:pPr>
              <w:pStyle w:val="46"/>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1FFF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000" w:type="pct"/>
            <w:gridSpan w:val="8"/>
            <w:noWrap w:val="0"/>
            <w:vAlign w:val="center"/>
          </w:tcPr>
          <w:p w14:paraId="0CF5ED46">
            <w:pPr>
              <w:pStyle w:val="46"/>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2C06F341">
      <w:pPr>
        <w:pStyle w:val="15"/>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14:paraId="2A1BBB92">
      <w:pPr>
        <w:pStyle w:val="15"/>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516E3967">
      <w:pPr>
        <w:pStyle w:val="15"/>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w:t>
      </w:r>
    </w:p>
    <w:p w14:paraId="5771745B">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14:paraId="4C5D40DD">
      <w:pPr>
        <w:pStyle w:val="15"/>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69947460">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1E02249F">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4B459F7">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14:paraId="043EC5C0">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8E0F7C7">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754F00C9">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32892700">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14:paraId="2DA45508">
      <w:pPr>
        <w:pStyle w:val="15"/>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48EA5532">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21D6EEC7">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6F97DD91">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14:paraId="1202F143">
      <w:pPr>
        <w:pStyle w:val="15"/>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540BC36B">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4F80F18C">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93EE5EA">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14:paraId="3699A83C">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770C44F">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09CFFACC">
      <w:pPr>
        <w:pStyle w:val="15"/>
        <w:rPr>
          <w:rFonts w:hint="eastAsia" w:ascii="仿宋" w:hAnsi="仿宋" w:eastAsia="仿宋" w:cs="仿宋"/>
          <w:b/>
          <w:bCs/>
          <w:color w:val="auto"/>
          <w:sz w:val="24"/>
          <w:szCs w:val="24"/>
          <w:highlight w:val="none"/>
        </w:rPr>
      </w:pPr>
    </w:p>
    <w:p w14:paraId="78C455A4">
      <w:pPr>
        <w:pStyle w:val="1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6、企业股权关系证明材料（投标人根据自身情况提供证明材料）</w:t>
      </w:r>
    </w:p>
    <w:p w14:paraId="5FA158CC">
      <w:pPr>
        <w:pStyle w:val="10"/>
        <w:adjustRightInd w:val="0"/>
        <w:snapToGrid w:val="0"/>
        <w:spacing w:line="360" w:lineRule="auto"/>
        <w:rPr>
          <w:rFonts w:hint="eastAsia" w:hAnsi="宋体" w:cs="宋体"/>
          <w:szCs w:val="21"/>
        </w:rPr>
      </w:pPr>
    </w:p>
    <w:p w14:paraId="1583E9BE">
      <w:pPr>
        <w:pStyle w:val="10"/>
        <w:adjustRightInd w:val="0"/>
        <w:snapToGrid w:val="0"/>
        <w:spacing w:line="360" w:lineRule="auto"/>
        <w:rPr>
          <w:rFonts w:hint="eastAsia" w:hAnsi="宋体" w:cs="宋体"/>
          <w:szCs w:val="21"/>
        </w:rPr>
      </w:pPr>
    </w:p>
    <w:p w14:paraId="2A1E1E9B">
      <w:pPr>
        <w:pStyle w:val="10"/>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7384213F">
      <w:pPr>
        <w:wordWrap w:val="0"/>
        <w:adjustRightInd w:val="0"/>
        <w:snapToGrid w:val="0"/>
        <w:spacing w:line="360" w:lineRule="auto"/>
        <w:ind w:firstLine="4200" w:firstLineChars="2000"/>
        <w:rPr>
          <w:rFonts w:hint="eastAsia" w:ascii="宋体" w:hAnsi="宋体" w:cs="宋体"/>
          <w:szCs w:val="21"/>
        </w:rPr>
      </w:pPr>
    </w:p>
    <w:p w14:paraId="0829220A">
      <w:pPr>
        <w:wordWrap w:val="0"/>
        <w:adjustRightInd w:val="0"/>
        <w:snapToGrid w:val="0"/>
        <w:spacing w:line="360" w:lineRule="auto"/>
        <w:ind w:firstLine="4200" w:firstLineChars="2000"/>
        <w:rPr>
          <w:rFonts w:hint="eastAsia" w:ascii="宋体" w:hAnsi="宋体" w:cs="宋体"/>
          <w:szCs w:val="21"/>
        </w:rPr>
      </w:pPr>
    </w:p>
    <w:p w14:paraId="3B2853D0">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14:paraId="2ADF5D3A">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0D8210DB">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14:paraId="769369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F1A5925">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CB0B4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14:paraId="561F756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8718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0ED618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2E7CF08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214EDA7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0F5816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3579FF1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39BD1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14:paraId="608299E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5DDECF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4114F90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059F20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14:paraId="48B7A2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14:paraId="1886CB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052AF1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7F2C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2BCA7A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6877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5AA85031">
      <w:pPr>
        <w:pStyle w:val="6"/>
        <w:rPr>
          <w:rFonts w:hint="eastAsia"/>
          <w:highlight w:val="none"/>
          <w:lang w:val="en-US" w:eastAsia="zh-CN"/>
        </w:rPr>
      </w:pPr>
    </w:p>
    <w:p w14:paraId="6A6EF35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14:paraId="0E1EE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14:paraId="0AF1FC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E676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CB684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2193DB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5BAA1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3F591F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ACFB9A7">
      <w:pPr>
        <w:rPr>
          <w:rFonts w:hint="eastAsia" w:ascii="仿宋" w:hAnsi="仿宋" w:eastAsia="仿宋" w:cs="仿宋"/>
          <w:sz w:val="24"/>
          <w:szCs w:val="24"/>
          <w:highlight w:val="none"/>
        </w:rPr>
      </w:pPr>
    </w:p>
    <w:p w14:paraId="684F122E">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103714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6A175F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958AA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2022D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664E4C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139A9FD">
      <w:pPr>
        <w:ind w:firstLine="480" w:firstLineChars="200"/>
        <w:rPr>
          <w:rFonts w:ascii="宋体" w:hAnsi="宋体" w:cs="宋体"/>
          <w:sz w:val="24"/>
          <w:highlight w:val="none"/>
        </w:rPr>
      </w:pPr>
    </w:p>
    <w:p w14:paraId="1F9B00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67235B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3DD13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0B07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344E7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A1A1F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1471C7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767140DE">
      <w:pPr>
        <w:widowControl w:val="0"/>
        <w:jc w:val="both"/>
        <w:rPr>
          <w:rFonts w:hint="eastAsia" w:ascii="仿宋" w:hAnsi="仿宋" w:eastAsia="仿宋" w:cs="仿宋"/>
          <w:b/>
          <w:bCs/>
          <w:sz w:val="24"/>
          <w:szCs w:val="24"/>
          <w:highlight w:val="none"/>
        </w:rPr>
      </w:pPr>
    </w:p>
    <w:p w14:paraId="131D8725">
      <w:pPr>
        <w:widowControl w:val="0"/>
        <w:jc w:val="both"/>
        <w:rPr>
          <w:rFonts w:hint="eastAsia" w:ascii="仿宋" w:hAnsi="仿宋" w:eastAsia="仿宋" w:cs="仿宋"/>
          <w:color w:val="FF0000"/>
          <w:kern w:val="2"/>
          <w:sz w:val="24"/>
          <w:szCs w:val="24"/>
          <w:highlight w:val="none"/>
        </w:rPr>
      </w:pPr>
    </w:p>
    <w:p w14:paraId="7208C37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E147FA1">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78"/>
        <w:gridCol w:w="2350"/>
        <w:gridCol w:w="1200"/>
        <w:gridCol w:w="1159"/>
      </w:tblGrid>
      <w:tr w14:paraId="73D8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7BDDF70">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2778" w:type="dxa"/>
            <w:vAlign w:val="center"/>
          </w:tcPr>
          <w:p w14:paraId="0DC8122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2350" w:type="dxa"/>
            <w:vAlign w:val="center"/>
          </w:tcPr>
          <w:p w14:paraId="3AE89D3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200" w:type="dxa"/>
            <w:vAlign w:val="center"/>
          </w:tcPr>
          <w:p w14:paraId="1AE09D7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59" w:type="dxa"/>
            <w:vAlign w:val="center"/>
          </w:tcPr>
          <w:p w14:paraId="252CE80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14:paraId="470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33EA67C5">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778" w:type="dxa"/>
            <w:shd w:val="clear" w:color="auto" w:fill="auto"/>
            <w:vAlign w:val="center"/>
          </w:tcPr>
          <w:p w14:paraId="2495CF2E">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lang w:eastAsia="zh-CN"/>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kern w:val="0"/>
                <w:sz w:val="24"/>
                <w:szCs w:val="24"/>
                <w:highlight w:val="none"/>
              </w:rPr>
              <w:t>项目负责人</w:t>
            </w:r>
            <w:r>
              <w:rPr>
                <w:rFonts w:hint="eastAsia" w:ascii="仿宋" w:hAnsi="仿宋" w:eastAsia="仿宋" w:cs="仿宋"/>
                <w:kern w:val="0"/>
                <w:sz w:val="24"/>
                <w:szCs w:val="24"/>
                <w:highlight w:val="none"/>
                <w:lang w:eastAsia="zh-CN"/>
              </w:rPr>
              <w:t>：</w:t>
            </w:r>
          </w:p>
          <w:p w14:paraId="4C3BE256">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1.人员数量：1人；</w:t>
            </w:r>
          </w:p>
          <w:p w14:paraId="55E4E3B0">
            <w:pPr>
              <w:keepNext w:val="0"/>
              <w:keepLines w:val="0"/>
              <w:suppressLineNumbers w:val="0"/>
              <w:spacing w:before="0" w:beforeAutospacing="0" w:after="0" w:afterAutospacing="0"/>
              <w:ind w:left="0" w:right="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2.项目负责人具有注册会计师证书（提供有效的证书并加盖公章）。</w:t>
            </w:r>
          </w:p>
          <w:p w14:paraId="5B62D4D8">
            <w:pPr>
              <w:keepNext w:val="0"/>
              <w:keepLines w:val="0"/>
              <w:suppressLineNumbers w:val="0"/>
              <w:spacing w:before="0" w:beforeAutospacing="0" w:after="0" w:afterAutospacing="0"/>
              <w:ind w:left="0" w:leftChars="0" w:right="0" w:rightChars="0"/>
              <w:jc w:val="both"/>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3.合同签订后提供项目组成员分工名单，经采购人认可。项目组人员在服务期内不得调整更换，如因特殊情况确需调整更换，需经采购人同意后再作变更。</w:t>
            </w:r>
          </w:p>
        </w:tc>
        <w:tc>
          <w:tcPr>
            <w:tcW w:w="2350" w:type="dxa"/>
          </w:tcPr>
          <w:p w14:paraId="6EA25499">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200" w:type="dxa"/>
          </w:tcPr>
          <w:p w14:paraId="05C6A273">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159" w:type="dxa"/>
          </w:tcPr>
          <w:p w14:paraId="1628921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14:paraId="0BCE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4B814CA4">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778" w:type="dxa"/>
            <w:shd w:val="clear" w:color="auto" w:fill="auto"/>
            <w:vAlign w:val="center"/>
          </w:tcPr>
          <w:p w14:paraId="711FCFE0">
            <w:pPr>
              <w:keepNext w:val="0"/>
              <w:keepLines w:val="0"/>
              <w:suppressLineNumbers w:val="0"/>
              <w:spacing w:before="0" w:beforeAutospacing="0" w:after="0" w:afterAutospacing="0"/>
              <w:ind w:left="0" w:leftChars="0" w:right="0" w:rightChars="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团队成员（项目负责人除外）</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合同签订后提供项目组成员分工名单，经采购人认可。项目组人员在服务期内不得调整更换，如因特殊情况确需调整更换，需经采购人同意后再作变更。</w:t>
            </w:r>
          </w:p>
        </w:tc>
        <w:tc>
          <w:tcPr>
            <w:tcW w:w="2350" w:type="dxa"/>
          </w:tcPr>
          <w:p w14:paraId="402C4271">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200" w:type="dxa"/>
          </w:tcPr>
          <w:p w14:paraId="6B1CAD3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159" w:type="dxa"/>
          </w:tcPr>
          <w:p w14:paraId="11BAD9B7">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14:paraId="4A2C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69A1C8C8">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778" w:type="dxa"/>
            <w:shd w:val="clear" w:color="auto" w:fill="auto"/>
            <w:vAlign w:val="center"/>
          </w:tcPr>
          <w:p w14:paraId="08932669">
            <w:pPr>
              <w:keepNext w:val="0"/>
              <w:keepLines w:val="0"/>
              <w:suppressLineNumbers w:val="0"/>
              <w:spacing w:before="0" w:beforeAutospacing="0" w:after="0" w:afterAutospacing="0"/>
              <w:ind w:left="0" w:leftChars="0" w:right="0" w:rightChars="0"/>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★服务期限</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合同签订之日起，中标人完成审计服务项目，出具审计报告，并经采购人验收合格后终止；服务期限预计6个月，具体以实际验收合格之日终止。</w:t>
            </w:r>
          </w:p>
        </w:tc>
        <w:tc>
          <w:tcPr>
            <w:tcW w:w="2350" w:type="dxa"/>
          </w:tcPr>
          <w:p w14:paraId="372C46D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200" w:type="dxa"/>
          </w:tcPr>
          <w:p w14:paraId="5D6D7AAA">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159" w:type="dxa"/>
          </w:tcPr>
          <w:p w14:paraId="66D6677A">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14:paraId="41688654">
      <w:pPr>
        <w:numPr>
          <w:ilvl w:val="0"/>
          <w:numId w:val="0"/>
        </w:numPr>
        <w:ind w:leftChars="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751724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6022D4F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3F42779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198A51F8">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D410D71">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73756F61">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七、合同条款及格式</w:t>
      </w:r>
    </w:p>
    <w:p w14:paraId="57B038EE">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2FF6DEDE">
      <w:pPr>
        <w:autoSpaceDE w:val="0"/>
        <w:autoSpaceDN w:val="0"/>
        <w:adjustRightInd w:val="0"/>
        <w:spacing w:before="16" w:line="520" w:lineRule="exact"/>
        <w:rPr>
          <w:rFonts w:hint="eastAsia" w:ascii="仿宋" w:hAnsi="仿宋" w:eastAsia="仿宋" w:cs="仿宋"/>
          <w:b/>
          <w:bCs/>
          <w:kern w:val="0"/>
          <w:sz w:val="24"/>
          <w:szCs w:val="24"/>
          <w:u w:val="single"/>
        </w:rPr>
      </w:pPr>
      <w:r>
        <w:rPr>
          <w:rFonts w:hint="eastAsia" w:ascii="仿宋" w:hAnsi="仿宋" w:eastAsia="仿宋" w:cs="仿宋"/>
          <w:b/>
          <w:bCs/>
          <w:kern w:val="2"/>
          <w:sz w:val="28"/>
          <w:highlight w:val="none"/>
          <w:lang w:val="en-US" w:eastAsia="zh-CN"/>
        </w:rPr>
        <w:t xml:space="preserve">   </w:t>
      </w:r>
      <w:r>
        <w:rPr>
          <w:rFonts w:hint="eastAsia" w:ascii="仿宋" w:hAnsi="仿宋" w:eastAsia="仿宋" w:cs="仿宋"/>
          <w:kern w:val="0"/>
          <w:sz w:val="24"/>
          <w:szCs w:val="24"/>
        </w:rPr>
        <w:t>甲方：</w:t>
      </w:r>
    </w:p>
    <w:p w14:paraId="42F9F011">
      <w:pPr>
        <w:autoSpaceDE w:val="0"/>
        <w:autoSpaceDN w:val="0"/>
        <w:adjustRightInd w:val="0"/>
        <w:spacing w:before="16"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乙方：</w:t>
      </w:r>
    </w:p>
    <w:p w14:paraId="09A8F639">
      <w:pPr>
        <w:autoSpaceDE w:val="0"/>
        <w:autoSpaceDN w:val="0"/>
        <w:adjustRightInd w:val="0"/>
        <w:spacing w:line="360" w:lineRule="auto"/>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兹由甲方委托乙方对甲方开展审计工作事宜，根据《中华人民共和国民法典》及相关法律法规的规定，经双方协商，达成以下约定：</w:t>
      </w:r>
    </w:p>
    <w:p w14:paraId="5D841BB2">
      <w:pPr>
        <w:pStyle w:val="36"/>
        <w:numPr>
          <w:ilvl w:val="-1"/>
          <w:numId w:val="0"/>
        </w:numPr>
        <w:autoSpaceDE w:val="0"/>
        <w:autoSpaceDN w:val="0"/>
        <w:adjustRightInd w:val="0"/>
        <w:spacing w:before="240" w:line="520" w:lineRule="exact"/>
        <w:ind w:left="426" w:right="-23" w:firstLine="0" w:firstLineChars="0"/>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一、</w:t>
      </w:r>
      <w:r>
        <w:rPr>
          <w:rFonts w:hint="eastAsia" w:ascii="仿宋" w:hAnsi="仿宋" w:eastAsia="仿宋" w:cs="仿宋"/>
          <w:b/>
          <w:kern w:val="0"/>
          <w:sz w:val="24"/>
          <w:szCs w:val="24"/>
        </w:rPr>
        <w:t>审计内容:</w:t>
      </w:r>
    </w:p>
    <w:p w14:paraId="45E84C59">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乙方接受甲方委托，对甲方以下内容实施审计：</w:t>
      </w:r>
    </w:p>
    <w:p w14:paraId="5D06B945">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1.202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年度会计报表审计（包括资产负债表、收入费用总表、现金流量表、财政补助收支情况表以及有关附表、医院财务报表附注等）。</w:t>
      </w:r>
    </w:p>
    <w:p w14:paraId="4FBB9B4B">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根据《深圳市财政局关于开展行政事业单位内部控制评价试点工作的通知》等上级文件要求，</w:t>
      </w:r>
      <w:r>
        <w:rPr>
          <w:rFonts w:hint="eastAsia" w:ascii="仿宋" w:hAnsi="仿宋" w:eastAsia="仿宋" w:cs="仿宋"/>
          <w:kern w:val="0"/>
          <w:sz w:val="24"/>
          <w:szCs w:val="24"/>
        </w:rPr>
        <w:t>实施202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年度内部控制评价</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本次内部控制评价</w:t>
      </w:r>
      <w:r>
        <w:rPr>
          <w:rFonts w:hint="eastAsia" w:ascii="仿宋" w:hAnsi="仿宋" w:eastAsia="仿宋" w:cs="仿宋"/>
          <w:kern w:val="0"/>
          <w:sz w:val="24"/>
          <w:szCs w:val="24"/>
          <w:lang w:eastAsia="zh-CN"/>
        </w:rPr>
        <w:t>分为</w:t>
      </w:r>
      <w:r>
        <w:rPr>
          <w:rFonts w:hint="eastAsia" w:ascii="仿宋" w:hAnsi="仿宋" w:eastAsia="仿宋" w:cs="仿宋"/>
          <w:kern w:val="0"/>
          <w:sz w:val="24"/>
          <w:szCs w:val="24"/>
        </w:rPr>
        <w:t>内部控制设计有效性评价和内部控制运行有效性评价，</w:t>
      </w:r>
      <w:r>
        <w:rPr>
          <w:rFonts w:hint="eastAsia" w:ascii="仿宋" w:hAnsi="仿宋" w:eastAsia="仿宋" w:cs="仿宋"/>
          <w:kern w:val="0"/>
          <w:sz w:val="24"/>
          <w:szCs w:val="24"/>
          <w:lang w:val="en-US" w:eastAsia="zh-CN"/>
        </w:rPr>
        <w:t>评价业务范围应涵盖组织层面内部控制情况、业务层面内部控制情况、内部监督情况以及其他情况，其中组织层面内部控制情况包括：议事决策机制、规范权力运行情况、内部控制组织架构设置及运行情况、会计核算和财务报告情况、内部控制信息系统建立与实施情况；业务层面内部控制情况包括：</w:t>
      </w:r>
      <w:r>
        <w:rPr>
          <w:rFonts w:hint="eastAsia" w:ascii="仿宋" w:hAnsi="仿宋" w:eastAsia="仿宋" w:cs="仿宋"/>
          <w:kern w:val="0"/>
          <w:sz w:val="24"/>
          <w:szCs w:val="24"/>
        </w:rPr>
        <w:t>预算管理、收支管理、政府采购管理情况、资产管理情况、建设项目管理情况、合同管理情况</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内部监督情况包括：内部监督制度建立和实施情况</w:t>
      </w:r>
      <w:r>
        <w:rPr>
          <w:rFonts w:hint="eastAsia" w:ascii="仿宋" w:hAnsi="仿宋" w:eastAsia="仿宋" w:cs="仿宋"/>
          <w:kern w:val="0"/>
          <w:sz w:val="24"/>
          <w:szCs w:val="24"/>
        </w:rPr>
        <w:t>。内部控制评价报告至少应当包括：真实性声明、评价工作总体情况、评价依据、评价范围、评价程序和防范、风险及其认定、风险整改及对重大风险拟采取的控制措施、评价结论等内容。</w:t>
      </w:r>
    </w:p>
    <w:p w14:paraId="628563CB">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二、双方的责任</w:t>
      </w:r>
    </w:p>
    <w:p w14:paraId="2740CDC9">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（一）甲方的责任</w:t>
      </w:r>
    </w:p>
    <w:p w14:paraId="57C0631F">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74224F60">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2.按照企业会计准则的规定编制和公允列报财务报表是甲方管理层的责任，这种责任包括：（1）按照企业会计准则的规定编制财务报表，并使其公允反映；（2）设计、实施和维护必要的内部控制，以使财务报表不存在由于舞弊或错误而导致的重大错报。</w:t>
      </w:r>
    </w:p>
    <w:p w14:paraId="64885C6D">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3.及时为乙方的审计工作提供与审计有关的所有记录、文件和所需要的其他有关资料，并保证所提供资料的真实性和完整性。</w:t>
      </w:r>
    </w:p>
    <w:p w14:paraId="6D7BDBFF">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4.确保乙方不受限制地接触其认为必要的甲方内部人员和其它相关人员。</w:t>
      </w:r>
    </w:p>
    <w:p w14:paraId="3104A9BC">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5.甲方管理层对其作出的与审计有关的声明予以书面确认。</w:t>
      </w:r>
    </w:p>
    <w:p w14:paraId="6A9E2298">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6.为乙方派出的有关工作人员提供必要的工作条件和协助，乙方将于外勤工作开始前提供主要事项清单。</w:t>
      </w:r>
    </w:p>
    <w:p w14:paraId="56D2812B">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7.按照本约定书的约定及时足额支付审计费用和其他相关费用。</w:t>
      </w:r>
    </w:p>
    <w:p w14:paraId="1DE5A540">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8.乙方的审计不能减轻甲方及甲方管理层的责任。</w:t>
      </w:r>
    </w:p>
    <w:p w14:paraId="03540F6B">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（二）乙方的责任</w:t>
      </w:r>
    </w:p>
    <w:p w14:paraId="7D3EB4CE">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1.乙方的责任是在执行审计工作的基础上对甲方财务报表和甲方财务报告内部控制有效性发表审计意见，并对注意到的甲方非财务报告内部控制的重大缺陷进行披露。乙方根据中国注册会计师审计准则（以下简称审计准则）的规定执行审计。审计准则要求注册会计师遵守中国注册会计师职业道德守则，计划和执行审计工作，以对财务报表是否不存在重大错报和财务报告内部控制设计和运行的有效性评价获取合理保证。</w:t>
      </w:r>
    </w:p>
    <w:p w14:paraId="34A58776">
      <w:pPr>
        <w:autoSpaceDE w:val="0"/>
        <w:autoSpaceDN w:val="0"/>
        <w:adjustRightInd w:val="0"/>
        <w:spacing w:line="520" w:lineRule="exact"/>
        <w:ind w:firstLine="484" w:firstLineChars="202"/>
        <w:rPr>
          <w:rFonts w:hint="eastAsia" w:ascii="仿宋" w:hAnsi="仿宋" w:eastAsia="仿宋" w:cs="仿宋"/>
          <w:kern w:val="0"/>
          <w:sz w:val="24"/>
          <w:szCs w:val="24"/>
          <w:highlight w:val="none"/>
        </w:rPr>
      </w:pPr>
      <w:r>
        <w:rPr>
          <w:rFonts w:hint="eastAsia" w:ascii="仿宋" w:hAnsi="仿宋" w:eastAsia="仿宋" w:cs="仿宋"/>
          <w:kern w:val="0"/>
          <w:sz w:val="24"/>
          <w:szCs w:val="24"/>
        </w:rPr>
        <w:t>2.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w:t>
      </w:r>
      <w:r>
        <w:rPr>
          <w:rFonts w:hint="eastAsia" w:ascii="仿宋" w:hAnsi="仿宋" w:eastAsia="仿宋" w:cs="仿宋"/>
          <w:kern w:val="0"/>
          <w:sz w:val="24"/>
          <w:szCs w:val="24"/>
          <w:highlight w:val="none"/>
        </w:rPr>
        <w:t>程序，并对内部控制的有效性发表意见。审计工作还包括评价管理层选用会计政策的恰当性和作出会计估计的合理性，以及评价财务报表的总体列报。</w:t>
      </w:r>
    </w:p>
    <w:p w14:paraId="4DD9780C">
      <w:pPr>
        <w:autoSpaceDE w:val="0"/>
        <w:autoSpaceDN w:val="0"/>
        <w:adjustRightInd w:val="0"/>
        <w:spacing w:line="520" w:lineRule="exact"/>
        <w:ind w:firstLine="484" w:firstLineChars="20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在审计过程中，乙方若发现甲方存在乙方认为值得关注的内部控制缺陷，应以书面形式向甲方治理层或管理层通报。甲方在实施乙方提出的改进建议前应全面评估其影响。未经乙方书面许可，甲方不得向任何第三方提供乙方出具的沟通文件。</w:t>
      </w:r>
    </w:p>
    <w:p w14:paraId="48DD714E">
      <w:pPr>
        <w:autoSpaceDE w:val="0"/>
        <w:autoSpaceDN w:val="0"/>
        <w:adjustRightInd w:val="0"/>
        <w:spacing w:line="520" w:lineRule="exact"/>
        <w:ind w:firstLine="484" w:firstLineChars="20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4．按时完成审计工作（202</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年度会计报表审计、内部控制评价），分别出具审计报告。</w:t>
      </w:r>
    </w:p>
    <w:p w14:paraId="3B95F2BA">
      <w:pPr>
        <w:autoSpaceDE w:val="0"/>
        <w:autoSpaceDN w:val="0"/>
        <w:adjustRightInd w:val="0"/>
        <w:spacing w:line="520" w:lineRule="exact"/>
        <w:ind w:firstLine="484" w:firstLineChars="20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除下列情况外，乙方应当对执行业务过程中知悉的甲方信息予以保密：（1）法律法规允许披露，并取得甲方的授权；（2）根据法律法规的规定，为法律诉讼、仲裁准备文件或提供证据，以及向监管机构报告发现的违反法规行为；（3）在法律法规允许的情况下，在法律诉讼、仲裁中维护自己的合法权益；（4）接受注册会计师协会或监管机构的执业质量检查，答复其询问和调查；（5）法律法规、执业准则和职业道德规范规定的其它情形。</w:t>
      </w:r>
    </w:p>
    <w:p w14:paraId="448F0557">
      <w:pPr>
        <w:autoSpaceDE w:val="0"/>
        <w:autoSpaceDN w:val="0"/>
        <w:adjustRightInd w:val="0"/>
        <w:spacing w:before="240" w:line="520" w:lineRule="exact"/>
        <w:ind w:right="-23" w:firstLine="487" w:firstLineChars="202"/>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三、工作局限性</w:t>
      </w:r>
    </w:p>
    <w:p w14:paraId="1692B11C">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内部控制具有固有局限性，存在不能防止和发现错报的可能性。此外，由于情况的变化可能导致内部控制变得不恰当，或对控制政策和程序遵循的程度降低，根据内部控制审计结果推测未来内部控制的有效性具有一定风险。</w:t>
      </w:r>
    </w:p>
    <w:p w14:paraId="42CACDBF">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乙方开展的审计工作存在固有限制，比如内部控制审计工作的基础是甲方及第三方提供的信息和资料是真实和完整的，因此乙方的审计工作不能对审计报告获取绝对保证。由于存在固有限制，即使乙方已适当地按照执业准则计划和执行审计工作，仍然不可避免地存在甲方内部控制的某些重大错报未被发现的风险。</w:t>
      </w:r>
    </w:p>
    <w:p w14:paraId="2B482C6E">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乙方开展的审计工作未能发现舞弊或违反法规行为导致的甲方财务报告内部控制重大错报的风险高于审计工作未能发现错误导致的错报的风险。这是因为违反法规或舞弊行为可能涉及经过策划的隐瞒行为，例如串通舞弊、伪造文件、故意漏记交易、高级管理层凌驾于控制之上或故意向乙方作出不实陈述。如果乙方认为可能存在违反法规或舞弊行为，乙方将与甲方管理层或治理层进行沟通。</w:t>
      </w:r>
    </w:p>
    <w:p w14:paraId="76836364">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保障甲方的资产安全及防止和发现舞弊、错误和违反法规行为，是甲方治理层和管理层的责任。乙方将计划审计工作，以获取甲方财务报告内部控制不存在重大错报的合理保证，无论该错报是由于舞弊、错误还是违反法规行为导致。然而，乙方的审计工作不应被依赖用以发现可能存在的舞弊、错误或违反法规行为。</w:t>
      </w:r>
    </w:p>
    <w:p w14:paraId="0E5F0A0E">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在审计过程中，乙方若发现甲方存在乙方认为值得关注的内部控制缺陷，应以书面形式向甲方治理层或管理层通报。但乙方通报的各种事项，并不代表已全面说明所有可能存在的缺陷或已提出所有可行的改善建议。甲方在实施乙方提出的改善建议前应全面评估其影响。未经乙方书面许可，甲方不得向任何第三方提供乙方出具的沟通文件。</w:t>
      </w:r>
    </w:p>
    <w:p w14:paraId="5DA83DE2">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6.乙方开展的审计工作系乙方依据甲方所提供的资料，按照中国有关法律法规的规定所得出的职业判断。由于乙方不能确保乙方依据对甲方所提供资料进行的理解与甲方的真实意图完全一致，因此，直接而不加</w:t>
      </w:r>
      <w:r>
        <w:rPr>
          <w:rFonts w:hint="eastAsia" w:ascii="仿宋" w:hAnsi="仿宋" w:eastAsia="仿宋" w:cs="仿宋"/>
          <w:bCs/>
          <w:kern w:val="0"/>
          <w:sz w:val="24"/>
          <w:szCs w:val="24"/>
          <w:highlight w:val="none"/>
          <w:lang w:eastAsia="zh-CN"/>
        </w:rPr>
        <w:t>选择地</w:t>
      </w:r>
      <w:r>
        <w:rPr>
          <w:rFonts w:hint="eastAsia" w:ascii="仿宋" w:hAnsi="仿宋" w:eastAsia="仿宋" w:cs="仿宋"/>
          <w:bCs/>
          <w:kern w:val="0"/>
          <w:sz w:val="24"/>
          <w:szCs w:val="24"/>
          <w:highlight w:val="none"/>
        </w:rPr>
        <w:t>采用乙方提出的建议存在无法实现甲方预期目标的风险。</w:t>
      </w:r>
    </w:p>
    <w:p w14:paraId="6BAE426F">
      <w:pPr>
        <w:autoSpaceDE w:val="0"/>
        <w:autoSpaceDN w:val="0"/>
        <w:adjustRightInd w:val="0"/>
        <w:spacing w:line="520" w:lineRule="exact"/>
        <w:ind w:firstLine="484" w:firstLineChars="20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7.乙方出具的审计报告不应被视为对甲方财务报告内部控制的有效性提供的绝对保证。</w:t>
      </w:r>
    </w:p>
    <w:p w14:paraId="69843015">
      <w:pPr>
        <w:autoSpaceDE w:val="0"/>
        <w:autoSpaceDN w:val="0"/>
        <w:adjustRightInd w:val="0"/>
        <w:spacing w:line="520" w:lineRule="exact"/>
        <w:ind w:firstLine="484" w:firstLineChars="202"/>
        <w:rPr>
          <w:rFonts w:hint="eastAsia" w:ascii="仿宋" w:hAnsi="仿宋" w:eastAsia="仿宋" w:cs="仿宋"/>
          <w:b/>
          <w:kern w:val="0"/>
          <w:sz w:val="24"/>
          <w:szCs w:val="24"/>
          <w:highlight w:val="none"/>
        </w:rPr>
      </w:pPr>
      <w:r>
        <w:rPr>
          <w:rFonts w:hint="eastAsia" w:ascii="仿宋" w:hAnsi="仿宋" w:eastAsia="仿宋" w:cs="仿宋"/>
          <w:bCs/>
          <w:kern w:val="0"/>
          <w:sz w:val="24"/>
          <w:szCs w:val="24"/>
          <w:highlight w:val="none"/>
        </w:rPr>
        <w:t>8.乙方对审计服务成果的科学性、准确性负责；如甲方需要，乙方应及时向甲方解释、说明提交的审计服务成果的专业性知识，帮助甲方正确理解、使用审计服务成果。</w:t>
      </w:r>
    </w:p>
    <w:p w14:paraId="43EE9EE2">
      <w:pPr>
        <w:autoSpaceDE w:val="0"/>
        <w:autoSpaceDN w:val="0"/>
        <w:adjustRightInd w:val="0"/>
        <w:spacing w:before="240" w:line="520" w:lineRule="exact"/>
        <w:ind w:right="-23" w:firstLine="487" w:firstLineChars="202"/>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四、审计收费</w:t>
      </w:r>
    </w:p>
    <w:p w14:paraId="30D50CFB">
      <w:pPr>
        <w:autoSpaceDE w:val="0"/>
        <w:autoSpaceDN w:val="0"/>
        <w:adjustRightInd w:val="0"/>
        <w:snapToGrid w:val="0"/>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1.本次审计服务的收费是以乙方各级别工作人员在本次工作中所耗费的时间为基础计算的。乙方预计本次审计服务的费用总额（含税价）为人民币</w:t>
      </w:r>
      <w:r>
        <w:rPr>
          <w:rFonts w:hint="eastAsia" w:ascii="仿宋" w:hAnsi="仿宋" w:eastAsia="仿宋" w:cs="仿宋"/>
          <w:b/>
          <w:bCs/>
          <w:kern w:val="0"/>
          <w:sz w:val="24"/>
          <w:szCs w:val="24"/>
          <w:highlight w:val="none"/>
          <w:u w:val="single"/>
          <w:lang w:val="en-US" w:eastAsia="zh-CN"/>
        </w:rPr>
        <w:t>XX</w:t>
      </w:r>
      <w:r>
        <w:rPr>
          <w:rFonts w:hint="eastAsia" w:ascii="仿宋" w:hAnsi="仿宋" w:eastAsia="仿宋" w:cs="仿宋"/>
          <w:b/>
          <w:bCs/>
          <w:kern w:val="0"/>
          <w:sz w:val="24"/>
          <w:szCs w:val="24"/>
          <w:highlight w:val="none"/>
          <w:u w:val="single"/>
        </w:rPr>
        <w:t>元（大写：</w:t>
      </w:r>
      <w:r>
        <w:rPr>
          <w:rFonts w:hint="eastAsia" w:ascii="仿宋" w:hAnsi="仿宋" w:eastAsia="仿宋" w:cs="仿宋"/>
          <w:b/>
          <w:bCs/>
          <w:kern w:val="0"/>
          <w:sz w:val="24"/>
          <w:szCs w:val="24"/>
          <w:highlight w:val="none"/>
          <w:u w:val="single"/>
          <w:lang w:val="en-US" w:eastAsia="zh-CN"/>
        </w:rPr>
        <w:t>XX</w:t>
      </w:r>
      <w:r>
        <w:rPr>
          <w:rFonts w:hint="eastAsia" w:ascii="仿宋" w:hAnsi="仿宋" w:eastAsia="仿宋" w:cs="仿宋"/>
          <w:b/>
          <w:bCs/>
          <w:kern w:val="0"/>
          <w:sz w:val="24"/>
          <w:szCs w:val="24"/>
          <w:highlight w:val="none"/>
          <w:u w:val="single"/>
        </w:rPr>
        <w:t>）</w:t>
      </w:r>
      <w:r>
        <w:rPr>
          <w:rFonts w:hint="eastAsia" w:ascii="仿宋" w:hAnsi="仿宋" w:eastAsia="仿宋" w:cs="仿宋"/>
          <w:kern w:val="0"/>
          <w:sz w:val="24"/>
          <w:szCs w:val="24"/>
          <w:highlight w:val="none"/>
        </w:rPr>
        <w:t>。</w:t>
      </w:r>
    </w:p>
    <w:p w14:paraId="30BC98DB">
      <w:pPr>
        <w:spacing w:after="156" w:afterLines="50"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甲方</w:t>
      </w:r>
      <w:r>
        <w:rPr>
          <w:rFonts w:hint="eastAsia" w:ascii="仿宋" w:hAnsi="仿宋" w:eastAsia="仿宋" w:cs="仿宋"/>
          <w:kern w:val="0"/>
          <w:sz w:val="24"/>
          <w:szCs w:val="24"/>
          <w:highlight w:val="none"/>
        </w:rPr>
        <w:t>收到</w:t>
      </w:r>
      <w:r>
        <w:rPr>
          <w:rFonts w:hint="eastAsia" w:ascii="仿宋" w:hAnsi="仿宋" w:eastAsia="仿宋" w:cs="仿宋"/>
          <w:kern w:val="0"/>
          <w:sz w:val="24"/>
          <w:szCs w:val="24"/>
          <w:highlight w:val="none"/>
          <w:lang w:val="en-US" w:eastAsia="zh-CN"/>
        </w:rPr>
        <w:t>乙方</w:t>
      </w:r>
      <w:r>
        <w:rPr>
          <w:rFonts w:hint="eastAsia" w:ascii="仿宋" w:hAnsi="仿宋" w:eastAsia="仿宋" w:cs="仿宋"/>
          <w:kern w:val="0"/>
          <w:sz w:val="24"/>
          <w:szCs w:val="24"/>
          <w:highlight w:val="none"/>
        </w:rPr>
        <w:t>增值税发票后按照相应时间规定支付合同总价50%的款项。</w:t>
      </w:r>
    </w:p>
    <w:p w14:paraId="0B19B645">
      <w:pPr>
        <w:spacing w:after="156" w:afterLines="50"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（2）乙方</w:t>
      </w:r>
      <w:r>
        <w:rPr>
          <w:rFonts w:hint="eastAsia" w:ascii="仿宋" w:hAnsi="仿宋" w:eastAsia="仿宋" w:cs="仿宋"/>
          <w:kern w:val="0"/>
          <w:sz w:val="24"/>
          <w:szCs w:val="24"/>
          <w:highlight w:val="none"/>
        </w:rPr>
        <w:t>正式出具审计报告，经</w:t>
      </w:r>
      <w:r>
        <w:rPr>
          <w:rFonts w:hint="eastAsia" w:ascii="仿宋" w:hAnsi="仿宋" w:eastAsia="仿宋" w:cs="仿宋"/>
          <w:kern w:val="0"/>
          <w:sz w:val="24"/>
          <w:szCs w:val="24"/>
          <w:highlight w:val="none"/>
          <w:lang w:val="en-US" w:eastAsia="zh-CN"/>
        </w:rPr>
        <w:t>甲方</w:t>
      </w:r>
      <w:r>
        <w:rPr>
          <w:rFonts w:hint="eastAsia" w:ascii="仿宋" w:hAnsi="仿宋" w:eastAsia="仿宋" w:cs="仿宋"/>
          <w:kern w:val="0"/>
          <w:sz w:val="24"/>
          <w:szCs w:val="24"/>
          <w:highlight w:val="none"/>
        </w:rPr>
        <w:t>验收合格后，并收到</w:t>
      </w:r>
      <w:r>
        <w:rPr>
          <w:rFonts w:hint="eastAsia" w:ascii="仿宋" w:hAnsi="仿宋" w:eastAsia="仿宋" w:cs="仿宋"/>
          <w:kern w:val="0"/>
          <w:sz w:val="24"/>
          <w:szCs w:val="24"/>
          <w:highlight w:val="none"/>
          <w:lang w:val="en-US" w:eastAsia="zh-CN"/>
        </w:rPr>
        <w:t>乙方</w:t>
      </w:r>
      <w:r>
        <w:rPr>
          <w:rFonts w:hint="eastAsia" w:ascii="仿宋" w:hAnsi="仿宋" w:eastAsia="仿宋" w:cs="仿宋"/>
          <w:kern w:val="0"/>
          <w:sz w:val="24"/>
          <w:szCs w:val="24"/>
          <w:highlight w:val="none"/>
        </w:rPr>
        <w:t>增值税发票后按照相应时间规定支付合同总价50%的款项。</w:t>
      </w:r>
    </w:p>
    <w:p w14:paraId="289F3708">
      <w:pPr>
        <w:autoSpaceDE w:val="0"/>
        <w:autoSpaceDN w:val="0"/>
        <w:adjustRightInd w:val="0"/>
        <w:snapToGri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3.如果由于无法预见的原因，致使乙方从事本约定书所涉及的审计服务实际时间较本约定书签订时预计的时间有明显的增加或减少时，甲乙双方应通过协商，相应调整本部分第 1 段所述的审计费用。</w:t>
      </w:r>
    </w:p>
    <w:p w14:paraId="08E66CE2">
      <w:pPr>
        <w:autoSpaceDE w:val="0"/>
        <w:autoSpaceDN w:val="0"/>
        <w:adjustRightInd w:val="0"/>
        <w:snapToGrid w:val="0"/>
        <w:spacing w:line="520" w:lineRule="exact"/>
        <w:ind w:left="210" w:leftChars="100" w:firstLine="244" w:firstLineChars="102"/>
        <w:rPr>
          <w:rFonts w:hint="eastAsia" w:ascii="仿宋" w:hAnsi="仿宋" w:eastAsia="仿宋" w:cs="仿宋"/>
          <w:kern w:val="0"/>
          <w:sz w:val="24"/>
          <w:szCs w:val="24"/>
        </w:rPr>
      </w:pPr>
      <w:r>
        <w:rPr>
          <w:rFonts w:hint="eastAsia" w:ascii="仿宋" w:hAnsi="仿宋" w:eastAsia="仿宋" w:cs="仿宋"/>
          <w:kern w:val="0"/>
          <w:sz w:val="24"/>
          <w:szCs w:val="24"/>
        </w:rPr>
        <w:t>4.与本次审计有关的其他费用（包含交通费、食宿费等）由乙方承担；</w:t>
      </w:r>
    </w:p>
    <w:p w14:paraId="1F2EDAF1">
      <w:pPr>
        <w:autoSpaceDE w:val="0"/>
        <w:autoSpaceDN w:val="0"/>
        <w:adjustRightInd w:val="0"/>
        <w:snapToGri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5.甲方应在本约定书的约定期限内，以转账方式支付乙方服务费，乙方同意甲方将相应款项转入以下指定的账户：</w:t>
      </w:r>
    </w:p>
    <w:p w14:paraId="22DBF454">
      <w:pPr>
        <w:adjustRightInd w:val="0"/>
        <w:snapToGrid w:val="0"/>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乙方户名：</w:t>
      </w:r>
    </w:p>
    <w:p w14:paraId="086C4D2A">
      <w:pPr>
        <w:adjustRightInd w:val="0"/>
        <w:snapToGrid w:val="0"/>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账    号：</w:t>
      </w:r>
    </w:p>
    <w:p w14:paraId="003C9473">
      <w:pPr>
        <w:adjustRightInd w:val="0"/>
        <w:snapToGrid w:val="0"/>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开户银行：</w:t>
      </w:r>
    </w:p>
    <w:p w14:paraId="5696887A">
      <w:pPr>
        <w:autoSpaceDE w:val="0"/>
        <w:autoSpaceDN w:val="0"/>
        <w:adjustRightInd w:val="0"/>
        <w:spacing w:before="240" w:line="520" w:lineRule="exact"/>
        <w:ind w:right="-23"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五、审计报告和审计报告的使用</w:t>
      </w:r>
    </w:p>
    <w:p w14:paraId="4804F5AA">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1.乙方按照中国注册会计师审计准则规定的格式和类型出具审计报告。</w:t>
      </w:r>
    </w:p>
    <w:p w14:paraId="7951F01C">
      <w:pPr>
        <w:widowControl/>
        <w:spacing w:line="52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rPr>
        <w:t>2.乙方向甲方致送</w:t>
      </w:r>
      <w:r>
        <w:rPr>
          <w:rFonts w:hint="eastAsia" w:ascii="仿宋" w:hAnsi="仿宋" w:eastAsia="仿宋" w:cs="仿宋"/>
          <w:kern w:val="0"/>
          <w:sz w:val="24"/>
          <w:szCs w:val="24"/>
          <w:highlight w:val="none"/>
        </w:rPr>
        <w:t>纸质版审计报告一式</w:t>
      </w:r>
      <w:r>
        <w:rPr>
          <w:rFonts w:hint="eastAsia" w:ascii="仿宋" w:hAnsi="仿宋" w:eastAsia="仿宋" w:cs="仿宋"/>
          <w:kern w:val="0"/>
          <w:sz w:val="24"/>
          <w:szCs w:val="24"/>
          <w:highlight w:val="none"/>
          <w:u w:val="single"/>
        </w:rPr>
        <w:t xml:space="preserve"> 叁 </w:t>
      </w:r>
      <w:r>
        <w:rPr>
          <w:rFonts w:hint="eastAsia" w:ascii="仿宋" w:hAnsi="仿宋" w:eastAsia="仿宋" w:cs="仿宋"/>
          <w:kern w:val="0"/>
          <w:sz w:val="24"/>
          <w:szCs w:val="24"/>
          <w:highlight w:val="none"/>
        </w:rPr>
        <w:t>份，通过邮寄或现场直接提交；电子版、扫描版审计报告各</w:t>
      </w:r>
      <w:r>
        <w:rPr>
          <w:rFonts w:hint="eastAsia" w:ascii="仿宋" w:hAnsi="仿宋" w:eastAsia="仿宋" w:cs="仿宋"/>
          <w:kern w:val="0"/>
          <w:sz w:val="24"/>
          <w:szCs w:val="24"/>
          <w:highlight w:val="none"/>
          <w:u w:val="single"/>
        </w:rPr>
        <w:t xml:space="preserve"> 叁 </w:t>
      </w:r>
      <w:r>
        <w:rPr>
          <w:rFonts w:hint="eastAsia" w:ascii="仿宋" w:hAnsi="仿宋" w:eastAsia="仿宋" w:cs="仿宋"/>
          <w:kern w:val="0"/>
          <w:sz w:val="24"/>
          <w:szCs w:val="24"/>
          <w:highlight w:val="none"/>
        </w:rPr>
        <w:t>份（202</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年度会计报表审计报告、内部控制评价报告），通过邮箱或钉钉发送。</w:t>
      </w:r>
    </w:p>
    <w:p w14:paraId="18968C80">
      <w:pPr>
        <w:autoSpaceDE w:val="0"/>
        <w:autoSpaceDN w:val="0"/>
        <w:adjustRightInd w:val="0"/>
        <w:spacing w:line="52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甲方在提交或对外公布乙方出具的审计报告及其后附的已审财务报表时，不得对其进行修改。当甲方认为有必要修改会计数据、报表附注和所作的说明时，应当事先通知乙方，乙方将考虑有关的修改对审计报告的影响，必要时，将重新出具审计报告。</w:t>
      </w:r>
    </w:p>
    <w:p w14:paraId="37CBA6CC">
      <w:pPr>
        <w:autoSpaceDE w:val="0"/>
        <w:autoSpaceDN w:val="0"/>
        <w:adjustRightInd w:val="0"/>
        <w:spacing w:before="240" w:line="520" w:lineRule="exact"/>
        <w:ind w:right="-23" w:firstLine="487" w:firstLineChars="202"/>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六、本约定书的有效期间 </w:t>
      </w:r>
    </w:p>
    <w:p w14:paraId="1F56231C">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本约定书自甲乙双方签字盖章之日起生效，并在双方履行完毕本约定书约定的所有义务后终止。但其中第三项第6段、第四、五、七、八、九、十项并不因本约定书终止而失效。</w:t>
      </w:r>
    </w:p>
    <w:p w14:paraId="4193EE74">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七、约定事项的变更</w:t>
      </w:r>
    </w:p>
    <w:p w14:paraId="0B964900">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如果出现不可预见的情况，影响审计工作如期完成，或需要提前出具审计报告时，甲、乙双方均可要求变更约定事项，但应及时通知对方，并由双方协商解决。</w:t>
      </w:r>
    </w:p>
    <w:p w14:paraId="271AEDBE">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八、终止条款</w:t>
      </w:r>
    </w:p>
    <w:p w14:paraId="5FBB45B5">
      <w:pPr>
        <w:autoSpaceDE w:val="0"/>
        <w:autoSpaceDN w:val="0"/>
        <w:adjustRightInd w:val="0"/>
        <w:spacing w:before="18" w:line="520" w:lineRule="exact"/>
        <w:ind w:right="-20"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14:paraId="3F8DF630">
      <w:pPr>
        <w:autoSpaceDE w:val="0"/>
        <w:autoSpaceDN w:val="0"/>
        <w:adjustRightInd w:val="0"/>
        <w:spacing w:before="18" w:line="520" w:lineRule="exact"/>
        <w:ind w:right="-20"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2.在终止业务终止的情况下，乙方有权就其于终止之日前对约定的审计服务项目所做的工作收取合理的费用。</w:t>
      </w:r>
    </w:p>
    <w:p w14:paraId="28ADED19">
      <w:pPr>
        <w:spacing w:after="156" w:afterLines="50"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如乙方未按合同规定提供服务，甲方可以提前终止本合同。</w:t>
      </w:r>
    </w:p>
    <w:p w14:paraId="4F7F2BBF">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九、违约责任</w:t>
      </w:r>
    </w:p>
    <w:p w14:paraId="3EA30357">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1.甲乙双方按照《中华人民共和国民法典》的规定承担违约责任。</w:t>
      </w:r>
    </w:p>
    <w:p w14:paraId="62B0DABE">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2.乙方未按照本合同约定履行义务的，或乙方给甲方提供的服务因违反法律法规规定给甲方造成损失的，甲方有权单方解除本合同，且不予支付委托费用；同时，乙方应向甲方支付违约金；如因甲方责任，致使本约定书无法履行时，则甲方应向乙方支付违约金，所涉及到的违约金由甲乙双方协商。</w:t>
      </w:r>
    </w:p>
    <w:p w14:paraId="4058CE09">
      <w:pPr>
        <w:autoSpaceDE w:val="0"/>
        <w:autoSpaceDN w:val="0"/>
        <w:adjustRightInd w:val="0"/>
        <w:spacing w:line="520" w:lineRule="exact"/>
        <w:ind w:firstLine="484" w:firstLineChars="202"/>
        <w:rPr>
          <w:rFonts w:hint="eastAsia" w:ascii="仿宋" w:hAnsi="仿宋" w:eastAsia="仿宋" w:cs="仿宋"/>
          <w:kern w:val="0"/>
          <w:sz w:val="24"/>
          <w:szCs w:val="24"/>
        </w:rPr>
      </w:pPr>
      <w:r>
        <w:rPr>
          <w:rFonts w:hint="eastAsia" w:ascii="仿宋" w:hAnsi="仿宋" w:eastAsia="仿宋" w:cs="仿宋"/>
          <w:kern w:val="0"/>
          <w:sz w:val="24"/>
          <w:szCs w:val="24"/>
        </w:rPr>
        <w:t>3.因甲方变更计划或未及时提供审计所需全部资料而造成乙方无法按时出具报告的，乙方可相应顺延期限出具审计报告。</w:t>
      </w:r>
    </w:p>
    <w:p w14:paraId="18A46978">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十、适用法律和争议解决</w:t>
      </w:r>
    </w:p>
    <w:p w14:paraId="3EAAC66C">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选择协商确定采取以下第</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种方式予以解决：</w:t>
      </w:r>
    </w:p>
    <w:p w14:paraId="44C7B342">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（1）向甲方所在地有管辖权的人民法院提起诉讼；</w:t>
      </w:r>
    </w:p>
    <w:p w14:paraId="3CF82A68">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（2）提交</w:t>
      </w:r>
      <w:r>
        <w:rPr>
          <w:rFonts w:hint="eastAsia" w:ascii="仿宋" w:hAnsi="仿宋" w:eastAsia="仿宋" w:cs="仿宋"/>
          <w:kern w:val="0"/>
          <w:sz w:val="24"/>
          <w:szCs w:val="24"/>
          <w:u w:val="single"/>
        </w:rPr>
        <w:t xml:space="preserve">  / </w:t>
      </w:r>
      <w:r>
        <w:rPr>
          <w:rFonts w:hint="eastAsia" w:ascii="仿宋" w:hAnsi="仿宋" w:eastAsia="仿宋" w:cs="仿宋"/>
          <w:kern w:val="0"/>
          <w:sz w:val="24"/>
          <w:szCs w:val="24"/>
        </w:rPr>
        <w:t>仲裁委员会仲裁。</w:t>
      </w:r>
    </w:p>
    <w:p w14:paraId="61E0148C">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2.双方因解决纠纷而支出的律师费、诉讼费、保全费、调查取证费/公证费、差旅费等必要合理开支，按法律规定由过错方承担。</w:t>
      </w:r>
    </w:p>
    <w:p w14:paraId="1771F435">
      <w:pPr>
        <w:autoSpaceDE w:val="0"/>
        <w:autoSpaceDN w:val="0"/>
        <w:adjustRightInd w:val="0"/>
        <w:spacing w:before="240" w:line="520" w:lineRule="exact"/>
        <w:ind w:right="-23" w:firstLine="487" w:firstLineChars="202"/>
        <w:rPr>
          <w:rFonts w:hint="eastAsia" w:ascii="仿宋" w:hAnsi="仿宋" w:eastAsia="仿宋" w:cs="仿宋"/>
          <w:b/>
          <w:kern w:val="0"/>
          <w:sz w:val="24"/>
          <w:szCs w:val="24"/>
        </w:rPr>
      </w:pPr>
      <w:r>
        <w:rPr>
          <w:rFonts w:hint="eastAsia" w:ascii="仿宋" w:hAnsi="仿宋" w:eastAsia="仿宋" w:cs="仿宋"/>
          <w:b/>
          <w:kern w:val="0"/>
          <w:sz w:val="24"/>
          <w:szCs w:val="24"/>
        </w:rPr>
        <w:t>十一、双方对其他有关事项的约定</w:t>
      </w:r>
    </w:p>
    <w:p w14:paraId="51FB9F54">
      <w:pPr>
        <w:autoSpaceDE w:val="0"/>
        <w:autoSpaceDN w:val="0"/>
        <w:adjustRightInd w:val="0"/>
        <w:spacing w:line="5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本约定书一式</w:t>
      </w:r>
      <w:r>
        <w:rPr>
          <w:rFonts w:hint="eastAsia" w:ascii="仿宋" w:hAnsi="仿宋" w:eastAsia="仿宋" w:cs="仿宋"/>
          <w:b/>
          <w:bCs/>
          <w:kern w:val="0"/>
          <w:sz w:val="24"/>
          <w:szCs w:val="24"/>
          <w:u w:val="single"/>
        </w:rPr>
        <w:t xml:space="preserve"> </w:t>
      </w:r>
      <w:r>
        <w:rPr>
          <w:rFonts w:hint="eastAsia" w:ascii="仿宋" w:hAnsi="仿宋" w:eastAsia="仿宋" w:cs="仿宋"/>
          <w:sz w:val="24"/>
          <w:szCs w:val="24"/>
          <w:u w:val="single"/>
        </w:rPr>
        <w:t>肆</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份，</w:t>
      </w:r>
      <w:r>
        <w:rPr>
          <w:rFonts w:hint="eastAsia" w:ascii="仿宋" w:hAnsi="仿宋" w:eastAsia="仿宋" w:cs="仿宋"/>
          <w:sz w:val="24"/>
          <w:szCs w:val="24"/>
        </w:rPr>
        <w:t>甲方执贰份、乙方执贰份，</w:t>
      </w:r>
      <w:r>
        <w:rPr>
          <w:rFonts w:hint="eastAsia" w:ascii="仿宋" w:hAnsi="仿宋" w:eastAsia="仿宋" w:cs="仿宋"/>
          <w:kern w:val="0"/>
          <w:sz w:val="24"/>
          <w:szCs w:val="24"/>
        </w:rPr>
        <w:t>具有同等法律效力。</w:t>
      </w:r>
    </w:p>
    <w:p w14:paraId="13156BF7">
      <w:pPr>
        <w:tabs>
          <w:tab w:val="left" w:pos="4200"/>
        </w:tabs>
        <w:autoSpaceDE w:val="0"/>
        <w:autoSpaceDN w:val="0"/>
        <w:adjustRightInd w:val="0"/>
        <w:spacing w:line="500" w:lineRule="exact"/>
        <w:ind w:left="36" w:leftChars="17" w:right="-357"/>
        <w:rPr>
          <w:rFonts w:hint="eastAsia" w:ascii="仿宋" w:hAnsi="仿宋" w:eastAsia="仿宋" w:cs="仿宋"/>
          <w:kern w:val="0"/>
          <w:sz w:val="24"/>
          <w:szCs w:val="24"/>
        </w:rPr>
      </w:pPr>
    </w:p>
    <w:p w14:paraId="4B2DCAB8">
      <w:pPr>
        <w:tabs>
          <w:tab w:val="left" w:pos="4200"/>
        </w:tabs>
        <w:autoSpaceDE w:val="0"/>
        <w:autoSpaceDN w:val="0"/>
        <w:adjustRightInd w:val="0"/>
        <w:spacing w:line="500" w:lineRule="exact"/>
        <w:ind w:left="36" w:leftChars="17" w:right="-357"/>
        <w:rPr>
          <w:rFonts w:hint="eastAsia" w:ascii="仿宋" w:hAnsi="仿宋" w:eastAsia="仿宋" w:cs="仿宋"/>
          <w:kern w:val="0"/>
          <w:sz w:val="24"/>
          <w:szCs w:val="24"/>
        </w:rPr>
      </w:pPr>
    </w:p>
    <w:p w14:paraId="16CDDAD4">
      <w:pPr>
        <w:tabs>
          <w:tab w:val="left" w:pos="4200"/>
        </w:tabs>
        <w:autoSpaceDE w:val="0"/>
        <w:autoSpaceDN w:val="0"/>
        <w:adjustRightInd w:val="0"/>
        <w:spacing w:line="500" w:lineRule="exact"/>
        <w:ind w:left="36" w:leftChars="17" w:right="-357"/>
        <w:rPr>
          <w:rFonts w:hint="eastAsia" w:ascii="仿宋" w:hAnsi="仿宋" w:eastAsia="仿宋" w:cs="仿宋"/>
          <w:kern w:val="0"/>
          <w:sz w:val="24"/>
          <w:szCs w:val="24"/>
        </w:rPr>
      </w:pPr>
    </w:p>
    <w:p w14:paraId="2DA69FBA">
      <w:pPr>
        <w:tabs>
          <w:tab w:val="left" w:pos="4200"/>
        </w:tabs>
        <w:autoSpaceDE w:val="0"/>
        <w:autoSpaceDN w:val="0"/>
        <w:adjustRightInd w:val="0"/>
        <w:spacing w:line="500" w:lineRule="exact"/>
        <w:ind w:left="36" w:leftChars="17" w:right="-357"/>
        <w:rPr>
          <w:rFonts w:hint="eastAsia" w:ascii="仿宋" w:hAnsi="仿宋" w:eastAsia="仿宋" w:cs="仿宋"/>
          <w:kern w:val="0"/>
          <w:sz w:val="24"/>
          <w:szCs w:val="24"/>
        </w:rPr>
      </w:pPr>
    </w:p>
    <w:p w14:paraId="492A248C">
      <w:pPr>
        <w:tabs>
          <w:tab w:val="left" w:pos="4200"/>
        </w:tabs>
        <w:autoSpaceDE w:val="0"/>
        <w:autoSpaceDN w:val="0"/>
        <w:adjustRightInd w:val="0"/>
        <w:spacing w:line="500" w:lineRule="exact"/>
        <w:ind w:left="36" w:leftChars="17" w:right="-357"/>
        <w:rPr>
          <w:rFonts w:hint="eastAsia" w:ascii="仿宋" w:hAnsi="仿宋" w:eastAsia="仿宋" w:cs="仿宋"/>
          <w:kern w:val="0"/>
          <w:sz w:val="24"/>
          <w:szCs w:val="24"/>
        </w:rPr>
      </w:pPr>
      <w:r>
        <w:rPr>
          <w:rFonts w:hint="eastAsia" w:ascii="仿宋" w:hAnsi="仿宋" w:eastAsia="仿宋" w:cs="仿宋"/>
          <w:kern w:val="0"/>
          <w:sz w:val="24"/>
          <w:szCs w:val="24"/>
        </w:rPr>
        <w:t>甲方：深圳市龙岗中心医院</w:t>
      </w:r>
      <w:r>
        <w:rPr>
          <w:rFonts w:hint="eastAsia" w:ascii="仿宋" w:hAnsi="仿宋" w:eastAsia="仿宋" w:cs="仿宋"/>
          <w:kern w:val="0"/>
          <w:sz w:val="24"/>
          <w:szCs w:val="24"/>
        </w:rPr>
        <w:tab/>
      </w:r>
      <w:r>
        <w:rPr>
          <w:rFonts w:hint="eastAsia" w:ascii="仿宋" w:hAnsi="仿宋" w:eastAsia="仿宋" w:cs="仿宋"/>
          <w:kern w:val="0"/>
          <w:sz w:val="24"/>
          <w:szCs w:val="24"/>
        </w:rPr>
        <w:t>乙方：</w:t>
      </w:r>
    </w:p>
    <w:p w14:paraId="1D5E7C5D">
      <w:pPr>
        <w:tabs>
          <w:tab w:val="left" w:pos="4200"/>
        </w:tabs>
        <w:autoSpaceDE w:val="0"/>
        <w:autoSpaceDN w:val="0"/>
        <w:adjustRightInd w:val="0"/>
        <w:spacing w:line="500" w:lineRule="exact"/>
        <w:ind w:right="-357" w:firstLine="1920" w:firstLineChars="800"/>
        <w:rPr>
          <w:rFonts w:hint="eastAsia" w:ascii="仿宋" w:hAnsi="仿宋" w:eastAsia="仿宋" w:cs="仿宋"/>
          <w:kern w:val="0"/>
          <w:sz w:val="24"/>
          <w:szCs w:val="24"/>
        </w:rPr>
      </w:pPr>
      <w:r>
        <w:rPr>
          <w:rFonts w:hint="eastAsia" w:ascii="仿宋" w:hAnsi="仿宋" w:eastAsia="仿宋" w:cs="仿宋"/>
          <w:kern w:val="0"/>
          <w:sz w:val="24"/>
          <w:szCs w:val="24"/>
        </w:rPr>
        <w:t>（盖章）                              （盖章）</w:t>
      </w:r>
    </w:p>
    <w:p w14:paraId="385BF011">
      <w:pPr>
        <w:tabs>
          <w:tab w:val="left" w:pos="6000"/>
        </w:tabs>
        <w:autoSpaceDE w:val="0"/>
        <w:autoSpaceDN w:val="0"/>
        <w:adjustRightInd w:val="0"/>
        <w:spacing w:before="64" w:line="500" w:lineRule="exact"/>
        <w:ind w:right="-20"/>
        <w:rPr>
          <w:rFonts w:hint="eastAsia" w:ascii="仿宋" w:hAnsi="仿宋" w:eastAsia="仿宋" w:cs="仿宋"/>
          <w:kern w:val="0"/>
          <w:sz w:val="24"/>
          <w:szCs w:val="24"/>
        </w:rPr>
      </w:pPr>
      <w:r>
        <w:rPr>
          <w:rFonts w:hint="eastAsia" w:ascii="仿宋" w:hAnsi="仿宋" w:eastAsia="仿宋" w:cs="仿宋"/>
          <w:kern w:val="0"/>
          <w:sz w:val="24"/>
          <w:szCs w:val="24"/>
        </w:rPr>
        <w:t>授权代表：（签名并签章）                 授权代表：（签名并签章）</w:t>
      </w:r>
    </w:p>
    <w:p w14:paraId="3BF6785F">
      <w:pPr>
        <w:tabs>
          <w:tab w:val="left" w:pos="6315"/>
        </w:tabs>
        <w:autoSpaceDE w:val="0"/>
        <w:autoSpaceDN w:val="0"/>
        <w:adjustRightInd w:val="0"/>
        <w:spacing w:before="64" w:line="500" w:lineRule="exact"/>
        <w:ind w:right="-20"/>
        <w:rPr>
          <w:rFonts w:hint="eastAsia" w:ascii="仿宋" w:hAnsi="仿宋" w:eastAsia="仿宋" w:cs="仿宋"/>
          <w:kern w:val="0"/>
          <w:sz w:val="24"/>
          <w:szCs w:val="24"/>
        </w:rPr>
      </w:pP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27983B52">
      <w:pPr>
        <w:rPr>
          <w:sz w:val="24"/>
          <w:szCs w:val="24"/>
        </w:rPr>
      </w:pPr>
    </w:p>
    <w:p w14:paraId="003C772D">
      <w:pPr>
        <w:rPr>
          <w:rFonts w:hint="eastAsia" w:ascii="仿宋" w:hAnsi="仿宋" w:eastAsia="仿宋" w:cs="仿宋"/>
          <w:b/>
          <w:bCs/>
          <w:kern w:val="2"/>
          <w:sz w:val="24"/>
          <w:szCs w:val="24"/>
          <w:highlight w:val="none"/>
        </w:rPr>
      </w:pPr>
    </w:p>
    <w:p w14:paraId="0E4D74D9">
      <w:pPr>
        <w:rPr>
          <w:rFonts w:hint="eastAsia" w:ascii="仿宋" w:hAnsi="仿宋" w:eastAsia="仿宋" w:cs="仿宋"/>
          <w:b/>
          <w:bCs/>
          <w:kern w:val="2"/>
          <w:sz w:val="24"/>
          <w:szCs w:val="24"/>
          <w:highlight w:val="none"/>
          <w:lang w:val="en-US" w:eastAsia="zh-CN"/>
        </w:rPr>
      </w:pPr>
    </w:p>
    <w:p w14:paraId="1C941D20">
      <w:pPr>
        <w:rPr>
          <w:rFonts w:hint="eastAsia" w:ascii="仿宋" w:hAnsi="仿宋" w:eastAsia="仿宋" w:cs="仿宋"/>
          <w:b/>
          <w:bCs/>
          <w:kern w:val="2"/>
          <w:sz w:val="24"/>
          <w:szCs w:val="24"/>
          <w:highlight w:val="none"/>
          <w:lang w:val="en-US" w:eastAsia="zh-CN"/>
        </w:rPr>
      </w:pPr>
    </w:p>
    <w:p w14:paraId="533924FA">
      <w:pPr>
        <w:rPr>
          <w:rFonts w:hint="eastAsia" w:ascii="仿宋" w:hAnsi="仿宋" w:eastAsia="仿宋" w:cs="仿宋"/>
          <w:b/>
          <w:bCs/>
          <w:kern w:val="2"/>
          <w:sz w:val="24"/>
          <w:szCs w:val="24"/>
          <w:highlight w:val="none"/>
          <w:lang w:val="en-US" w:eastAsia="zh-CN"/>
        </w:rPr>
      </w:pPr>
    </w:p>
    <w:p w14:paraId="38DB7282">
      <w:pPr>
        <w:rPr>
          <w:rFonts w:hint="eastAsia" w:ascii="仿宋" w:hAnsi="仿宋" w:eastAsia="仿宋" w:cs="仿宋"/>
          <w:b/>
          <w:bCs/>
          <w:kern w:val="2"/>
          <w:sz w:val="24"/>
          <w:szCs w:val="24"/>
          <w:highlight w:val="none"/>
          <w:lang w:val="en-US" w:eastAsia="zh-CN"/>
        </w:rPr>
      </w:pPr>
    </w:p>
    <w:p w14:paraId="3CF1CAA9">
      <w:pPr>
        <w:rPr>
          <w:rFonts w:hint="eastAsia" w:ascii="仿宋" w:hAnsi="仿宋" w:eastAsia="仿宋" w:cs="仿宋"/>
          <w:b/>
          <w:bCs/>
          <w:kern w:val="2"/>
          <w:sz w:val="24"/>
          <w:szCs w:val="24"/>
          <w:highlight w:val="none"/>
          <w:lang w:val="en-US" w:eastAsia="zh-CN"/>
        </w:rPr>
      </w:pPr>
    </w:p>
    <w:p w14:paraId="13B5EF85">
      <w:pPr>
        <w:rPr>
          <w:rFonts w:hint="eastAsia" w:ascii="仿宋" w:hAnsi="仿宋" w:eastAsia="仿宋" w:cs="仿宋"/>
          <w:b/>
          <w:bCs/>
          <w:kern w:val="2"/>
          <w:sz w:val="24"/>
          <w:szCs w:val="24"/>
          <w:highlight w:val="none"/>
          <w:lang w:val="en-US" w:eastAsia="zh-CN"/>
        </w:rPr>
      </w:pPr>
    </w:p>
    <w:p w14:paraId="1EFEDD0B">
      <w:pPr>
        <w:rPr>
          <w:rFonts w:hint="eastAsia" w:ascii="仿宋" w:hAnsi="仿宋" w:eastAsia="仿宋" w:cs="仿宋"/>
          <w:b/>
          <w:bCs/>
          <w:kern w:val="2"/>
          <w:sz w:val="24"/>
          <w:szCs w:val="24"/>
          <w:highlight w:val="none"/>
          <w:lang w:val="en-US" w:eastAsia="zh-CN"/>
        </w:rPr>
      </w:pPr>
    </w:p>
    <w:p w14:paraId="2CCB6C9D">
      <w:pPr>
        <w:rPr>
          <w:rFonts w:hint="eastAsia" w:ascii="仿宋" w:hAnsi="仿宋" w:eastAsia="仿宋" w:cs="仿宋"/>
          <w:b/>
          <w:bCs/>
          <w:kern w:val="2"/>
          <w:sz w:val="24"/>
          <w:szCs w:val="24"/>
          <w:highlight w:val="none"/>
          <w:lang w:val="en-US" w:eastAsia="zh-CN"/>
        </w:rPr>
      </w:pPr>
    </w:p>
    <w:p w14:paraId="3D6BAD17">
      <w:pPr>
        <w:rPr>
          <w:rFonts w:hint="eastAsia" w:ascii="仿宋" w:hAnsi="仿宋" w:eastAsia="仿宋" w:cs="仿宋"/>
          <w:b/>
          <w:bCs/>
          <w:kern w:val="2"/>
          <w:sz w:val="24"/>
          <w:szCs w:val="24"/>
          <w:highlight w:val="none"/>
          <w:lang w:val="en-US" w:eastAsia="zh-CN"/>
        </w:rPr>
      </w:pPr>
    </w:p>
    <w:p w14:paraId="28E6C2C4">
      <w:pPr>
        <w:rPr>
          <w:rFonts w:hint="eastAsia" w:ascii="仿宋" w:hAnsi="仿宋" w:eastAsia="仿宋" w:cs="仿宋"/>
          <w:b/>
          <w:bCs/>
          <w:kern w:val="2"/>
          <w:sz w:val="24"/>
          <w:szCs w:val="24"/>
          <w:highlight w:val="none"/>
          <w:lang w:val="en-US" w:eastAsia="zh-CN"/>
        </w:rPr>
      </w:pPr>
    </w:p>
    <w:p w14:paraId="4CF27CDB">
      <w:pPr>
        <w:rPr>
          <w:rFonts w:hint="eastAsia" w:ascii="仿宋" w:hAnsi="仿宋" w:eastAsia="仿宋" w:cs="仿宋"/>
          <w:b/>
          <w:bCs/>
          <w:kern w:val="2"/>
          <w:sz w:val="24"/>
          <w:szCs w:val="24"/>
          <w:highlight w:val="none"/>
          <w:lang w:val="en-US" w:eastAsia="zh-CN"/>
        </w:rPr>
      </w:pPr>
    </w:p>
    <w:p w14:paraId="38D37E00">
      <w:pPr>
        <w:rPr>
          <w:rFonts w:hint="eastAsia" w:ascii="仿宋" w:hAnsi="仿宋" w:eastAsia="仿宋" w:cs="仿宋"/>
          <w:b/>
          <w:bCs/>
          <w:kern w:val="2"/>
          <w:sz w:val="24"/>
          <w:szCs w:val="24"/>
          <w:highlight w:val="none"/>
          <w:lang w:val="en-US" w:eastAsia="zh-CN"/>
        </w:rPr>
      </w:pPr>
    </w:p>
    <w:p w14:paraId="094980D8">
      <w:pPr>
        <w:rPr>
          <w:rFonts w:hint="eastAsia" w:ascii="仿宋" w:hAnsi="仿宋" w:eastAsia="仿宋" w:cs="仿宋"/>
          <w:b/>
          <w:bCs/>
          <w:kern w:val="2"/>
          <w:sz w:val="24"/>
          <w:szCs w:val="24"/>
          <w:highlight w:val="none"/>
          <w:lang w:val="en-US" w:eastAsia="zh-CN"/>
        </w:rPr>
      </w:pPr>
    </w:p>
    <w:p w14:paraId="1B67FB8C">
      <w:pPr>
        <w:rPr>
          <w:rFonts w:hint="eastAsia" w:ascii="仿宋" w:hAnsi="仿宋" w:eastAsia="仿宋" w:cs="仿宋"/>
          <w:b/>
          <w:bCs/>
          <w:kern w:val="2"/>
          <w:sz w:val="24"/>
          <w:szCs w:val="24"/>
          <w:highlight w:val="none"/>
          <w:lang w:val="en-US" w:eastAsia="zh-CN"/>
        </w:rPr>
      </w:pPr>
    </w:p>
    <w:p w14:paraId="4952E3C7">
      <w:pPr>
        <w:rPr>
          <w:rFonts w:hint="eastAsia" w:ascii="仿宋" w:hAnsi="仿宋" w:eastAsia="仿宋" w:cs="仿宋"/>
          <w:b/>
          <w:bCs/>
          <w:kern w:val="2"/>
          <w:sz w:val="24"/>
          <w:szCs w:val="24"/>
          <w:highlight w:val="none"/>
          <w:lang w:val="en-US" w:eastAsia="zh-CN"/>
        </w:rPr>
      </w:pPr>
    </w:p>
    <w:p w14:paraId="782C5558">
      <w:pPr>
        <w:rPr>
          <w:rFonts w:hint="eastAsia" w:ascii="仿宋" w:hAnsi="仿宋" w:eastAsia="仿宋" w:cs="仿宋"/>
          <w:b/>
          <w:bCs/>
          <w:kern w:val="2"/>
          <w:sz w:val="24"/>
          <w:szCs w:val="24"/>
          <w:highlight w:val="none"/>
          <w:lang w:val="en-US" w:eastAsia="zh-CN"/>
        </w:rPr>
      </w:pPr>
    </w:p>
    <w:p w14:paraId="2A811E6C">
      <w:pPr>
        <w:rPr>
          <w:rFonts w:hint="eastAsia" w:ascii="仿宋" w:hAnsi="仿宋" w:eastAsia="仿宋" w:cs="仿宋"/>
          <w:b/>
          <w:bCs/>
          <w:kern w:val="2"/>
          <w:sz w:val="24"/>
          <w:szCs w:val="24"/>
          <w:highlight w:val="none"/>
          <w:lang w:val="en-US" w:eastAsia="zh-CN"/>
        </w:rPr>
      </w:pPr>
    </w:p>
    <w:p w14:paraId="759FA9E1">
      <w:pPr>
        <w:rPr>
          <w:rFonts w:hint="eastAsia" w:ascii="仿宋" w:hAnsi="仿宋" w:eastAsia="仿宋" w:cs="仿宋"/>
          <w:b/>
          <w:bCs/>
          <w:kern w:val="2"/>
          <w:sz w:val="24"/>
          <w:szCs w:val="24"/>
          <w:highlight w:val="none"/>
          <w:lang w:val="en-US" w:eastAsia="zh-CN"/>
        </w:rPr>
      </w:pPr>
    </w:p>
    <w:p w14:paraId="2752DD16">
      <w:pPr>
        <w:rPr>
          <w:rFonts w:hint="eastAsia" w:ascii="仿宋" w:hAnsi="仿宋" w:eastAsia="仿宋" w:cs="仿宋"/>
          <w:b/>
          <w:bCs/>
          <w:kern w:val="2"/>
          <w:sz w:val="24"/>
          <w:szCs w:val="24"/>
          <w:highlight w:val="none"/>
          <w:lang w:val="en-US" w:eastAsia="zh-CN"/>
        </w:rPr>
      </w:pPr>
    </w:p>
    <w:p w14:paraId="6A7D4F18">
      <w:pPr>
        <w:rPr>
          <w:rFonts w:hint="eastAsia" w:ascii="仿宋" w:hAnsi="仿宋" w:eastAsia="仿宋" w:cs="仿宋"/>
          <w:b/>
          <w:bCs/>
          <w:kern w:val="2"/>
          <w:sz w:val="24"/>
          <w:szCs w:val="24"/>
          <w:highlight w:val="none"/>
          <w:lang w:val="en-US" w:eastAsia="zh-CN"/>
        </w:rPr>
      </w:pPr>
    </w:p>
    <w:p w14:paraId="40CA1234">
      <w:pPr>
        <w:rPr>
          <w:rFonts w:hint="eastAsia" w:ascii="仿宋" w:hAnsi="仿宋" w:eastAsia="仿宋" w:cs="仿宋"/>
          <w:b/>
          <w:bCs/>
          <w:kern w:val="2"/>
          <w:sz w:val="24"/>
          <w:szCs w:val="24"/>
          <w:highlight w:val="none"/>
          <w:lang w:val="en-US" w:eastAsia="zh-CN"/>
        </w:rPr>
      </w:pPr>
    </w:p>
    <w:p w14:paraId="7C581DCC">
      <w:pPr>
        <w:rPr>
          <w:rFonts w:hint="eastAsia" w:ascii="仿宋" w:hAnsi="仿宋" w:eastAsia="仿宋" w:cs="仿宋"/>
          <w:b/>
          <w:bCs/>
          <w:kern w:val="2"/>
          <w:sz w:val="24"/>
          <w:szCs w:val="24"/>
          <w:highlight w:val="none"/>
          <w:lang w:val="en-US" w:eastAsia="zh-CN"/>
        </w:rPr>
      </w:pPr>
    </w:p>
    <w:p w14:paraId="1FC1CF99">
      <w:pPr>
        <w:rPr>
          <w:rFonts w:hint="eastAsia" w:ascii="仿宋" w:hAnsi="仿宋" w:eastAsia="仿宋" w:cs="仿宋"/>
          <w:b/>
          <w:bCs/>
          <w:kern w:val="2"/>
          <w:sz w:val="24"/>
          <w:szCs w:val="24"/>
          <w:highlight w:val="none"/>
          <w:lang w:val="en-US" w:eastAsia="zh-CN"/>
        </w:rPr>
      </w:pPr>
    </w:p>
    <w:p w14:paraId="158BCC2F">
      <w:pPr>
        <w:rPr>
          <w:rFonts w:hint="eastAsia" w:ascii="仿宋" w:hAnsi="仿宋" w:eastAsia="仿宋" w:cs="仿宋"/>
          <w:b/>
          <w:bCs/>
          <w:kern w:val="2"/>
          <w:sz w:val="24"/>
          <w:szCs w:val="24"/>
          <w:highlight w:val="none"/>
          <w:lang w:val="en-US" w:eastAsia="zh-CN"/>
        </w:rPr>
      </w:pPr>
      <w:bookmarkStart w:id="11" w:name="_GoBack"/>
      <w:bookmarkEnd w:id="11"/>
      <w:r>
        <w:rPr>
          <w:rFonts w:hint="eastAsia" w:ascii="仿宋" w:hAnsi="仿宋" w:eastAsia="仿宋" w:cs="仿宋"/>
          <w:b/>
          <w:bCs/>
          <w:kern w:val="2"/>
          <w:sz w:val="24"/>
          <w:szCs w:val="24"/>
          <w:highlight w:val="none"/>
          <w:lang w:val="en-US" w:eastAsia="zh-CN"/>
        </w:rPr>
        <w:t>八、投标人认为需要加以说明的其他内容的格式</w:t>
      </w:r>
    </w:p>
    <w:p w14:paraId="00A4417E">
      <w:pPr>
        <w:widowControl/>
        <w:jc w:val="left"/>
        <w:rPr>
          <w:rFonts w:hint="eastAsia" w:ascii="仿宋" w:hAnsi="仿宋" w:eastAsia="仿宋" w:cs="仿宋"/>
          <w:b/>
          <w:bCs/>
          <w:sz w:val="24"/>
          <w:szCs w:val="20"/>
          <w:highlight w:val="none"/>
        </w:rPr>
      </w:pPr>
    </w:p>
    <w:p w14:paraId="38135F54">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60736DB7">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132E21BE">
      <w:pPr>
        <w:widowControl w:val="0"/>
        <w:ind w:firstLine="482" w:firstLineChars="200"/>
        <w:jc w:val="center"/>
        <w:rPr>
          <w:rFonts w:hint="eastAsia" w:ascii="仿宋" w:hAnsi="仿宋" w:eastAsia="仿宋" w:cs="仿宋"/>
          <w:b/>
          <w:bCs/>
          <w:kern w:val="2"/>
          <w:sz w:val="24"/>
          <w:szCs w:val="24"/>
          <w:highlight w:val="none"/>
          <w:lang w:val="en-US" w:eastAsia="zh-CN"/>
        </w:rPr>
      </w:pPr>
    </w:p>
    <w:p w14:paraId="35A95281">
      <w:pPr>
        <w:widowControl w:val="0"/>
        <w:ind w:firstLine="482" w:firstLineChars="200"/>
        <w:jc w:val="center"/>
        <w:rPr>
          <w:rFonts w:hint="eastAsia" w:ascii="仿宋" w:hAnsi="仿宋" w:eastAsia="仿宋" w:cs="仿宋"/>
          <w:b/>
          <w:bCs/>
          <w:kern w:val="2"/>
          <w:sz w:val="24"/>
          <w:szCs w:val="24"/>
          <w:highlight w:val="none"/>
          <w:lang w:val="en-US" w:eastAsia="zh-CN"/>
        </w:rPr>
      </w:pPr>
    </w:p>
    <w:p w14:paraId="018060B5">
      <w:pPr>
        <w:pStyle w:val="6"/>
        <w:rPr>
          <w:rFonts w:hint="eastAsia" w:ascii="仿宋" w:hAnsi="仿宋" w:eastAsia="仿宋" w:cs="仿宋"/>
          <w:b/>
          <w:bCs/>
          <w:kern w:val="2"/>
          <w:sz w:val="24"/>
          <w:szCs w:val="24"/>
          <w:highlight w:val="none"/>
          <w:lang w:val="en-US" w:eastAsia="zh-CN"/>
        </w:rPr>
      </w:pPr>
    </w:p>
    <w:p w14:paraId="12575AE3">
      <w:pPr>
        <w:rPr>
          <w:rFonts w:hint="eastAsia" w:ascii="仿宋" w:hAnsi="仿宋" w:eastAsia="仿宋" w:cs="仿宋"/>
          <w:b/>
          <w:bCs/>
          <w:kern w:val="2"/>
          <w:sz w:val="24"/>
          <w:szCs w:val="24"/>
          <w:highlight w:val="none"/>
          <w:lang w:val="en-US" w:eastAsia="zh-CN"/>
        </w:rPr>
      </w:pPr>
    </w:p>
    <w:p w14:paraId="7A5E2BE8">
      <w:pPr>
        <w:pStyle w:val="6"/>
        <w:rPr>
          <w:rFonts w:hint="eastAsia" w:ascii="仿宋" w:hAnsi="仿宋" w:eastAsia="仿宋" w:cs="仿宋"/>
          <w:b/>
          <w:bCs/>
          <w:kern w:val="2"/>
          <w:sz w:val="24"/>
          <w:szCs w:val="24"/>
          <w:highlight w:val="none"/>
          <w:lang w:val="en-US" w:eastAsia="zh-CN"/>
        </w:rPr>
      </w:pPr>
    </w:p>
    <w:p w14:paraId="37181E62">
      <w:pPr>
        <w:rPr>
          <w:rFonts w:hint="eastAsia" w:ascii="仿宋" w:hAnsi="仿宋" w:eastAsia="仿宋" w:cs="仿宋"/>
          <w:b/>
          <w:bCs/>
          <w:kern w:val="2"/>
          <w:sz w:val="24"/>
          <w:szCs w:val="24"/>
          <w:highlight w:val="none"/>
          <w:lang w:val="en-US" w:eastAsia="zh-CN"/>
        </w:rPr>
      </w:pPr>
    </w:p>
    <w:p w14:paraId="13CCD29D">
      <w:pPr>
        <w:pStyle w:val="6"/>
        <w:rPr>
          <w:rFonts w:hint="eastAsia" w:ascii="仿宋" w:hAnsi="仿宋" w:eastAsia="仿宋" w:cs="仿宋"/>
          <w:b/>
          <w:bCs/>
          <w:kern w:val="2"/>
          <w:sz w:val="24"/>
          <w:szCs w:val="24"/>
          <w:highlight w:val="none"/>
          <w:lang w:val="en-US" w:eastAsia="zh-CN"/>
        </w:rPr>
      </w:pPr>
    </w:p>
    <w:p w14:paraId="6C64E753">
      <w:pPr>
        <w:rPr>
          <w:rFonts w:hint="eastAsia" w:ascii="仿宋" w:hAnsi="仿宋" w:eastAsia="仿宋" w:cs="仿宋"/>
          <w:b/>
          <w:bCs/>
          <w:kern w:val="2"/>
          <w:sz w:val="24"/>
          <w:szCs w:val="24"/>
          <w:highlight w:val="none"/>
          <w:lang w:val="en-US" w:eastAsia="zh-CN"/>
        </w:rPr>
      </w:pPr>
    </w:p>
    <w:p w14:paraId="5CA201AD">
      <w:pPr>
        <w:pStyle w:val="6"/>
        <w:rPr>
          <w:rFonts w:hint="eastAsia" w:ascii="仿宋" w:hAnsi="仿宋" w:eastAsia="仿宋" w:cs="仿宋"/>
          <w:b/>
          <w:bCs/>
          <w:kern w:val="2"/>
          <w:sz w:val="24"/>
          <w:szCs w:val="24"/>
          <w:highlight w:val="none"/>
          <w:lang w:val="en-US" w:eastAsia="zh-CN"/>
        </w:rPr>
      </w:pPr>
    </w:p>
    <w:p w14:paraId="609B4B00">
      <w:pPr>
        <w:pStyle w:val="24"/>
        <w:rPr>
          <w:rFonts w:hint="eastAsia" w:ascii="仿宋" w:hAnsi="仿宋" w:eastAsia="仿宋" w:cs="仿宋"/>
          <w:b/>
          <w:bCs/>
          <w:kern w:val="2"/>
          <w:sz w:val="24"/>
          <w:szCs w:val="24"/>
          <w:highlight w:val="none"/>
          <w:lang w:val="en-US" w:eastAsia="zh-CN"/>
        </w:rPr>
      </w:pPr>
    </w:p>
    <w:p w14:paraId="3CD4AF06">
      <w:pPr>
        <w:rPr>
          <w:rFonts w:hint="eastAsia" w:ascii="仿宋" w:hAnsi="仿宋" w:eastAsia="仿宋" w:cs="仿宋"/>
          <w:b/>
          <w:bCs/>
          <w:kern w:val="2"/>
          <w:sz w:val="24"/>
          <w:szCs w:val="24"/>
          <w:highlight w:val="none"/>
          <w:lang w:val="en-US" w:eastAsia="zh-CN"/>
        </w:rPr>
      </w:pPr>
    </w:p>
    <w:p w14:paraId="12E2881F">
      <w:pPr>
        <w:pStyle w:val="6"/>
        <w:rPr>
          <w:rFonts w:hint="eastAsia" w:ascii="仿宋" w:hAnsi="仿宋" w:eastAsia="仿宋" w:cs="仿宋"/>
          <w:b/>
          <w:bCs/>
          <w:kern w:val="2"/>
          <w:sz w:val="24"/>
          <w:szCs w:val="24"/>
          <w:highlight w:val="none"/>
          <w:lang w:val="en-US" w:eastAsia="zh-CN"/>
        </w:rPr>
      </w:pPr>
    </w:p>
    <w:p w14:paraId="2B1191ED">
      <w:pPr>
        <w:pStyle w:val="24"/>
        <w:rPr>
          <w:rFonts w:hint="eastAsia" w:ascii="仿宋" w:hAnsi="仿宋" w:eastAsia="仿宋" w:cs="仿宋"/>
          <w:b/>
          <w:bCs/>
          <w:kern w:val="2"/>
          <w:sz w:val="24"/>
          <w:szCs w:val="24"/>
          <w:highlight w:val="none"/>
          <w:lang w:val="en-US" w:eastAsia="zh-CN"/>
        </w:rPr>
      </w:pPr>
    </w:p>
    <w:p w14:paraId="0A6544E7">
      <w:pPr>
        <w:rPr>
          <w:rFonts w:hint="eastAsia" w:ascii="仿宋" w:hAnsi="仿宋" w:eastAsia="仿宋" w:cs="仿宋"/>
          <w:b/>
          <w:bCs/>
          <w:kern w:val="2"/>
          <w:sz w:val="24"/>
          <w:szCs w:val="24"/>
          <w:highlight w:val="none"/>
          <w:lang w:val="en-US" w:eastAsia="zh-CN"/>
        </w:rPr>
      </w:pPr>
    </w:p>
    <w:p w14:paraId="4DC8A313">
      <w:pPr>
        <w:pStyle w:val="6"/>
        <w:rPr>
          <w:rFonts w:hint="eastAsia" w:ascii="仿宋" w:hAnsi="仿宋" w:eastAsia="仿宋" w:cs="仿宋"/>
          <w:b/>
          <w:bCs/>
          <w:kern w:val="2"/>
          <w:sz w:val="24"/>
          <w:szCs w:val="24"/>
          <w:highlight w:val="none"/>
          <w:lang w:val="en-US" w:eastAsia="zh-CN"/>
        </w:rPr>
      </w:pPr>
    </w:p>
    <w:p w14:paraId="691A7DF5">
      <w:pPr>
        <w:pStyle w:val="24"/>
        <w:rPr>
          <w:rFonts w:hint="eastAsia" w:ascii="仿宋" w:hAnsi="仿宋" w:eastAsia="仿宋" w:cs="仿宋"/>
          <w:b/>
          <w:bCs/>
          <w:kern w:val="2"/>
          <w:sz w:val="24"/>
          <w:szCs w:val="24"/>
          <w:highlight w:val="none"/>
          <w:lang w:val="en-US" w:eastAsia="zh-CN"/>
        </w:rPr>
      </w:pPr>
    </w:p>
    <w:p w14:paraId="5E4C8470">
      <w:pPr>
        <w:rPr>
          <w:rFonts w:hint="eastAsia" w:ascii="仿宋" w:hAnsi="仿宋" w:eastAsia="仿宋" w:cs="仿宋"/>
          <w:b/>
          <w:bCs/>
          <w:kern w:val="2"/>
          <w:sz w:val="24"/>
          <w:szCs w:val="24"/>
          <w:highlight w:val="none"/>
          <w:lang w:val="en-US" w:eastAsia="zh-CN"/>
        </w:rPr>
      </w:pPr>
    </w:p>
    <w:p w14:paraId="0A47E710">
      <w:pPr>
        <w:pStyle w:val="6"/>
        <w:rPr>
          <w:rFonts w:hint="eastAsia" w:ascii="仿宋" w:hAnsi="仿宋" w:eastAsia="仿宋" w:cs="仿宋"/>
          <w:b/>
          <w:bCs/>
          <w:kern w:val="2"/>
          <w:sz w:val="24"/>
          <w:szCs w:val="24"/>
          <w:highlight w:val="none"/>
          <w:lang w:val="en-US" w:eastAsia="zh-CN"/>
        </w:rPr>
      </w:pPr>
    </w:p>
    <w:p w14:paraId="1C2324C5">
      <w:pPr>
        <w:pStyle w:val="24"/>
        <w:rPr>
          <w:rFonts w:hint="eastAsia" w:ascii="仿宋" w:hAnsi="仿宋" w:eastAsia="仿宋" w:cs="仿宋"/>
          <w:b/>
          <w:bCs/>
          <w:kern w:val="2"/>
          <w:sz w:val="24"/>
          <w:szCs w:val="24"/>
          <w:highlight w:val="none"/>
          <w:lang w:val="en-US" w:eastAsia="zh-CN"/>
        </w:rPr>
      </w:pPr>
    </w:p>
    <w:p w14:paraId="1F653636">
      <w:pPr>
        <w:rPr>
          <w:rFonts w:hint="eastAsia" w:ascii="仿宋" w:hAnsi="仿宋" w:eastAsia="仿宋" w:cs="仿宋"/>
          <w:b/>
          <w:bCs/>
          <w:kern w:val="2"/>
          <w:sz w:val="24"/>
          <w:szCs w:val="24"/>
          <w:highlight w:val="none"/>
          <w:lang w:val="en-US" w:eastAsia="zh-CN"/>
        </w:rPr>
      </w:pPr>
    </w:p>
    <w:p w14:paraId="4A05A107">
      <w:pPr>
        <w:pStyle w:val="6"/>
        <w:rPr>
          <w:rFonts w:hint="eastAsia" w:ascii="仿宋" w:hAnsi="仿宋" w:eastAsia="仿宋" w:cs="仿宋"/>
          <w:b/>
          <w:bCs/>
          <w:kern w:val="2"/>
          <w:sz w:val="24"/>
          <w:szCs w:val="24"/>
          <w:highlight w:val="none"/>
          <w:lang w:val="en-US" w:eastAsia="zh-CN"/>
        </w:rPr>
      </w:pPr>
    </w:p>
    <w:p w14:paraId="098DBF67">
      <w:pPr>
        <w:pStyle w:val="24"/>
        <w:rPr>
          <w:rFonts w:hint="eastAsia" w:ascii="仿宋" w:hAnsi="仿宋" w:eastAsia="仿宋" w:cs="仿宋"/>
          <w:b/>
          <w:bCs/>
          <w:kern w:val="2"/>
          <w:sz w:val="24"/>
          <w:szCs w:val="24"/>
          <w:highlight w:val="none"/>
          <w:lang w:val="en-US" w:eastAsia="zh-CN"/>
        </w:rPr>
      </w:pPr>
    </w:p>
    <w:p w14:paraId="22FBE5D3">
      <w:pPr>
        <w:rPr>
          <w:rFonts w:hint="eastAsia" w:ascii="仿宋" w:hAnsi="仿宋" w:eastAsia="仿宋" w:cs="仿宋"/>
          <w:b/>
          <w:bCs/>
          <w:kern w:val="2"/>
          <w:sz w:val="24"/>
          <w:szCs w:val="24"/>
          <w:highlight w:val="none"/>
          <w:lang w:val="en-US" w:eastAsia="zh-CN"/>
        </w:rPr>
      </w:pPr>
    </w:p>
    <w:p w14:paraId="4E63AD2F">
      <w:pPr>
        <w:pStyle w:val="6"/>
        <w:rPr>
          <w:rFonts w:hint="eastAsia" w:ascii="仿宋" w:hAnsi="仿宋" w:eastAsia="仿宋" w:cs="仿宋"/>
          <w:b/>
          <w:bCs/>
          <w:kern w:val="2"/>
          <w:sz w:val="24"/>
          <w:szCs w:val="24"/>
          <w:highlight w:val="none"/>
          <w:lang w:val="en-US" w:eastAsia="zh-CN"/>
        </w:rPr>
      </w:pPr>
    </w:p>
    <w:p w14:paraId="4FF4DDE6">
      <w:pPr>
        <w:pStyle w:val="24"/>
        <w:rPr>
          <w:rFonts w:hint="eastAsia" w:ascii="仿宋" w:hAnsi="仿宋" w:eastAsia="仿宋" w:cs="仿宋"/>
          <w:b/>
          <w:bCs/>
          <w:kern w:val="2"/>
          <w:sz w:val="24"/>
          <w:szCs w:val="24"/>
          <w:highlight w:val="none"/>
          <w:lang w:val="en-US" w:eastAsia="zh-CN"/>
        </w:rPr>
      </w:pPr>
    </w:p>
    <w:p w14:paraId="7826ED54">
      <w:pPr>
        <w:rPr>
          <w:rFonts w:hint="eastAsia" w:ascii="仿宋" w:hAnsi="仿宋" w:eastAsia="仿宋" w:cs="仿宋"/>
          <w:b/>
          <w:bCs/>
          <w:kern w:val="2"/>
          <w:sz w:val="24"/>
          <w:szCs w:val="24"/>
          <w:highlight w:val="none"/>
          <w:lang w:val="en-US" w:eastAsia="zh-CN"/>
        </w:rPr>
      </w:pPr>
    </w:p>
    <w:p w14:paraId="406753E6">
      <w:pPr>
        <w:pStyle w:val="6"/>
        <w:rPr>
          <w:rFonts w:hint="eastAsia" w:ascii="仿宋" w:hAnsi="仿宋" w:eastAsia="仿宋" w:cs="仿宋"/>
          <w:b/>
          <w:bCs/>
          <w:kern w:val="2"/>
          <w:sz w:val="24"/>
          <w:szCs w:val="24"/>
          <w:highlight w:val="none"/>
          <w:lang w:val="en-US" w:eastAsia="zh-CN"/>
        </w:rPr>
      </w:pPr>
    </w:p>
    <w:p w14:paraId="70F6B6F7">
      <w:pPr>
        <w:pStyle w:val="24"/>
        <w:rPr>
          <w:rFonts w:hint="eastAsia" w:ascii="仿宋" w:hAnsi="仿宋" w:eastAsia="仿宋" w:cs="仿宋"/>
          <w:b/>
          <w:bCs/>
          <w:kern w:val="2"/>
          <w:sz w:val="24"/>
          <w:szCs w:val="24"/>
          <w:highlight w:val="none"/>
          <w:lang w:val="en-US" w:eastAsia="zh-CN"/>
        </w:rPr>
      </w:pPr>
    </w:p>
    <w:p w14:paraId="24F39A05">
      <w:pPr>
        <w:rPr>
          <w:rFonts w:hint="eastAsia" w:ascii="仿宋" w:hAnsi="仿宋" w:eastAsia="仿宋" w:cs="仿宋"/>
          <w:b/>
          <w:bCs/>
          <w:kern w:val="2"/>
          <w:sz w:val="24"/>
          <w:szCs w:val="24"/>
          <w:highlight w:val="none"/>
          <w:lang w:val="en-US" w:eastAsia="zh-CN"/>
        </w:rPr>
      </w:pPr>
    </w:p>
    <w:p w14:paraId="1BE05774">
      <w:pPr>
        <w:pStyle w:val="6"/>
        <w:rPr>
          <w:rFonts w:hint="eastAsia" w:ascii="仿宋" w:hAnsi="仿宋" w:eastAsia="仿宋" w:cs="仿宋"/>
          <w:b/>
          <w:bCs/>
          <w:kern w:val="2"/>
          <w:sz w:val="24"/>
          <w:szCs w:val="24"/>
          <w:highlight w:val="none"/>
          <w:lang w:val="en-US" w:eastAsia="zh-CN"/>
        </w:rPr>
      </w:pPr>
    </w:p>
    <w:p w14:paraId="01FE4480">
      <w:pPr>
        <w:pStyle w:val="24"/>
        <w:rPr>
          <w:rFonts w:hint="eastAsia" w:ascii="仿宋" w:hAnsi="仿宋" w:eastAsia="仿宋" w:cs="仿宋"/>
          <w:b/>
          <w:bCs/>
          <w:kern w:val="2"/>
          <w:sz w:val="24"/>
          <w:szCs w:val="24"/>
          <w:highlight w:val="none"/>
          <w:lang w:val="en-US" w:eastAsia="zh-CN"/>
        </w:rPr>
      </w:pPr>
    </w:p>
    <w:p w14:paraId="7B54B8B3">
      <w:pPr>
        <w:rPr>
          <w:rFonts w:hint="eastAsia" w:ascii="仿宋" w:hAnsi="仿宋" w:eastAsia="仿宋" w:cs="仿宋"/>
          <w:b/>
          <w:bCs/>
          <w:kern w:val="2"/>
          <w:sz w:val="24"/>
          <w:szCs w:val="24"/>
          <w:highlight w:val="none"/>
          <w:lang w:val="en-US" w:eastAsia="zh-CN"/>
        </w:rPr>
      </w:pPr>
    </w:p>
    <w:p w14:paraId="62AFBFB6">
      <w:pPr>
        <w:pStyle w:val="6"/>
        <w:rPr>
          <w:rFonts w:hint="eastAsia" w:ascii="仿宋" w:hAnsi="仿宋" w:eastAsia="仿宋" w:cs="仿宋"/>
          <w:b/>
          <w:bCs/>
          <w:kern w:val="2"/>
          <w:sz w:val="24"/>
          <w:szCs w:val="24"/>
          <w:highlight w:val="none"/>
          <w:lang w:val="en-US" w:eastAsia="zh-CN"/>
        </w:rPr>
      </w:pPr>
    </w:p>
    <w:p w14:paraId="34068CD9">
      <w:pPr>
        <w:pStyle w:val="24"/>
        <w:rPr>
          <w:rFonts w:hint="eastAsia" w:ascii="仿宋" w:hAnsi="仿宋" w:eastAsia="仿宋" w:cs="仿宋"/>
          <w:b/>
          <w:bCs/>
          <w:kern w:val="2"/>
          <w:sz w:val="24"/>
          <w:szCs w:val="24"/>
          <w:highlight w:val="none"/>
          <w:lang w:val="en-US" w:eastAsia="zh-CN"/>
        </w:rPr>
      </w:pPr>
    </w:p>
    <w:p w14:paraId="26170B7A">
      <w:pPr>
        <w:rPr>
          <w:rFonts w:hint="eastAsia" w:ascii="仿宋" w:hAnsi="仿宋" w:eastAsia="仿宋" w:cs="仿宋"/>
          <w:b/>
          <w:bCs/>
          <w:kern w:val="2"/>
          <w:sz w:val="24"/>
          <w:szCs w:val="24"/>
          <w:highlight w:val="none"/>
          <w:lang w:val="en-US" w:eastAsia="zh-CN"/>
        </w:rPr>
      </w:pPr>
    </w:p>
    <w:p w14:paraId="126B179B">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1BE0">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EF0C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EF0C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3437">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39E8324"/>
    <w:multiLevelType w:val="singleLevel"/>
    <w:tmpl w:val="E39E8324"/>
    <w:lvl w:ilvl="0" w:tentative="0">
      <w:start w:val="1"/>
      <w:numFmt w:val="chineseCounting"/>
      <w:suff w:val="nothing"/>
      <w:lvlText w:val="（%1）"/>
      <w:lvlJc w:val="left"/>
      <w:rPr>
        <w:rFonts w:hint="eastAsia"/>
      </w:r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296F2EC0"/>
    <w:multiLevelType w:val="singleLevel"/>
    <w:tmpl w:val="296F2EC0"/>
    <w:lvl w:ilvl="0" w:tentative="0">
      <w:start w:val="2"/>
      <w:numFmt w:val="chineseCounting"/>
      <w:suff w:val="nothing"/>
      <w:lvlText w:val="%1、"/>
      <w:lvlJc w:val="left"/>
      <w:rPr>
        <w:rFonts w:hint="eastAsia"/>
      </w:rPr>
    </w:lvl>
  </w:abstractNum>
  <w:abstractNum w:abstractNumId="5">
    <w:nsid w:val="3C06E16E"/>
    <w:multiLevelType w:val="singleLevel"/>
    <w:tmpl w:val="3C06E16E"/>
    <w:lvl w:ilvl="0" w:tentative="0">
      <w:start w:val="1"/>
      <w:numFmt w:val="decimal"/>
      <w:lvlText w:val="%1."/>
      <w:lvlJc w:val="left"/>
      <w:pPr>
        <w:tabs>
          <w:tab w:val="left" w:pos="312"/>
        </w:tabs>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672B9"/>
    <w:rsid w:val="004732D3"/>
    <w:rsid w:val="00494459"/>
    <w:rsid w:val="004B0CFE"/>
    <w:rsid w:val="004B496A"/>
    <w:rsid w:val="004C7252"/>
    <w:rsid w:val="004D257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27A7"/>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CA5CC8"/>
    <w:rsid w:val="01FE5971"/>
    <w:rsid w:val="02070CCA"/>
    <w:rsid w:val="02421D02"/>
    <w:rsid w:val="02510197"/>
    <w:rsid w:val="028B5457"/>
    <w:rsid w:val="029D3A65"/>
    <w:rsid w:val="029E28CC"/>
    <w:rsid w:val="02FD73D9"/>
    <w:rsid w:val="03AD764F"/>
    <w:rsid w:val="03F34A98"/>
    <w:rsid w:val="040D7160"/>
    <w:rsid w:val="04180F6C"/>
    <w:rsid w:val="049A7A55"/>
    <w:rsid w:val="04A163D8"/>
    <w:rsid w:val="04F24EFB"/>
    <w:rsid w:val="04F31768"/>
    <w:rsid w:val="0523406D"/>
    <w:rsid w:val="053A4F12"/>
    <w:rsid w:val="06020126"/>
    <w:rsid w:val="06050740"/>
    <w:rsid w:val="066227F4"/>
    <w:rsid w:val="07100225"/>
    <w:rsid w:val="07A07BF6"/>
    <w:rsid w:val="07F949EC"/>
    <w:rsid w:val="07FC1113"/>
    <w:rsid w:val="07FF3A37"/>
    <w:rsid w:val="0822685D"/>
    <w:rsid w:val="085E716A"/>
    <w:rsid w:val="08AF3684"/>
    <w:rsid w:val="08D7672D"/>
    <w:rsid w:val="09322AD0"/>
    <w:rsid w:val="09722ECD"/>
    <w:rsid w:val="09862E1C"/>
    <w:rsid w:val="098F1CD1"/>
    <w:rsid w:val="09A137B2"/>
    <w:rsid w:val="09EA6E37"/>
    <w:rsid w:val="09F71624"/>
    <w:rsid w:val="0A0106F5"/>
    <w:rsid w:val="0A0807A0"/>
    <w:rsid w:val="0A310FDA"/>
    <w:rsid w:val="0A426DC6"/>
    <w:rsid w:val="0AC70AC2"/>
    <w:rsid w:val="0B1701D0"/>
    <w:rsid w:val="0B5F1B77"/>
    <w:rsid w:val="0B9C2483"/>
    <w:rsid w:val="0BC11EE9"/>
    <w:rsid w:val="0BC83278"/>
    <w:rsid w:val="0C032502"/>
    <w:rsid w:val="0C141EDE"/>
    <w:rsid w:val="0C193AD3"/>
    <w:rsid w:val="0C662A91"/>
    <w:rsid w:val="0CAC2BC9"/>
    <w:rsid w:val="0CEA5470"/>
    <w:rsid w:val="0CF270C9"/>
    <w:rsid w:val="0D0B3D64"/>
    <w:rsid w:val="0D501777"/>
    <w:rsid w:val="0DB708FE"/>
    <w:rsid w:val="0DE95727"/>
    <w:rsid w:val="0DFF46DE"/>
    <w:rsid w:val="0E0D4AF2"/>
    <w:rsid w:val="0E400B9F"/>
    <w:rsid w:val="0EB86FCD"/>
    <w:rsid w:val="0EBE3E7B"/>
    <w:rsid w:val="0EF83E74"/>
    <w:rsid w:val="0F19203C"/>
    <w:rsid w:val="0F264E85"/>
    <w:rsid w:val="0F2F360E"/>
    <w:rsid w:val="0F9A302A"/>
    <w:rsid w:val="0F9D4A1B"/>
    <w:rsid w:val="0FC24482"/>
    <w:rsid w:val="10C852A7"/>
    <w:rsid w:val="11482EF1"/>
    <w:rsid w:val="11F701D1"/>
    <w:rsid w:val="11FA7F03"/>
    <w:rsid w:val="12176D07"/>
    <w:rsid w:val="12696E37"/>
    <w:rsid w:val="12D270D2"/>
    <w:rsid w:val="12E76E7A"/>
    <w:rsid w:val="13F56BD4"/>
    <w:rsid w:val="14103A0E"/>
    <w:rsid w:val="145E012F"/>
    <w:rsid w:val="147E0AD7"/>
    <w:rsid w:val="149C1746"/>
    <w:rsid w:val="149F4D92"/>
    <w:rsid w:val="15007F26"/>
    <w:rsid w:val="150317C5"/>
    <w:rsid w:val="1518210F"/>
    <w:rsid w:val="156102B8"/>
    <w:rsid w:val="15903C4E"/>
    <w:rsid w:val="15C745A0"/>
    <w:rsid w:val="16465E0D"/>
    <w:rsid w:val="16687697"/>
    <w:rsid w:val="16C5620B"/>
    <w:rsid w:val="17684DD0"/>
    <w:rsid w:val="17775829"/>
    <w:rsid w:val="17C91873"/>
    <w:rsid w:val="17DF1C1F"/>
    <w:rsid w:val="17EF7DDE"/>
    <w:rsid w:val="17FE49B9"/>
    <w:rsid w:val="18143A6B"/>
    <w:rsid w:val="181D34EA"/>
    <w:rsid w:val="183D3240"/>
    <w:rsid w:val="185C1918"/>
    <w:rsid w:val="186D1B4E"/>
    <w:rsid w:val="18AC5CCF"/>
    <w:rsid w:val="18E02B21"/>
    <w:rsid w:val="18F51424"/>
    <w:rsid w:val="19091C4A"/>
    <w:rsid w:val="19314B52"/>
    <w:rsid w:val="19630A84"/>
    <w:rsid w:val="19AF7825"/>
    <w:rsid w:val="19C568A1"/>
    <w:rsid w:val="19D44C1D"/>
    <w:rsid w:val="1A3F504D"/>
    <w:rsid w:val="1B0E2C71"/>
    <w:rsid w:val="1B827729"/>
    <w:rsid w:val="1BB07BC9"/>
    <w:rsid w:val="1BC23B09"/>
    <w:rsid w:val="1BD67990"/>
    <w:rsid w:val="1C0320AA"/>
    <w:rsid w:val="1C7D15FF"/>
    <w:rsid w:val="1C8C6544"/>
    <w:rsid w:val="1CAB4C1C"/>
    <w:rsid w:val="1CC730D8"/>
    <w:rsid w:val="1CE75528"/>
    <w:rsid w:val="1D274CCD"/>
    <w:rsid w:val="1D550FDE"/>
    <w:rsid w:val="1D5C581B"/>
    <w:rsid w:val="1D6E4E35"/>
    <w:rsid w:val="1DC11D64"/>
    <w:rsid w:val="1E393459"/>
    <w:rsid w:val="1E7B23CC"/>
    <w:rsid w:val="1EBC3110"/>
    <w:rsid w:val="1EDB2E6A"/>
    <w:rsid w:val="1F5134CC"/>
    <w:rsid w:val="1F6115C2"/>
    <w:rsid w:val="1F6E3CDF"/>
    <w:rsid w:val="20612D7F"/>
    <w:rsid w:val="20765736"/>
    <w:rsid w:val="20D44015"/>
    <w:rsid w:val="20DD55C0"/>
    <w:rsid w:val="210A2DBD"/>
    <w:rsid w:val="211D65ED"/>
    <w:rsid w:val="214178FD"/>
    <w:rsid w:val="217B1617"/>
    <w:rsid w:val="2231143C"/>
    <w:rsid w:val="2245341D"/>
    <w:rsid w:val="224D22D1"/>
    <w:rsid w:val="22574EFE"/>
    <w:rsid w:val="227B6E3E"/>
    <w:rsid w:val="22882FEA"/>
    <w:rsid w:val="22EB3FC4"/>
    <w:rsid w:val="23476D20"/>
    <w:rsid w:val="23614286"/>
    <w:rsid w:val="236379CA"/>
    <w:rsid w:val="237B69CA"/>
    <w:rsid w:val="238B1303"/>
    <w:rsid w:val="23CD3AA8"/>
    <w:rsid w:val="23F46EA8"/>
    <w:rsid w:val="24030E99"/>
    <w:rsid w:val="244553D1"/>
    <w:rsid w:val="24912949"/>
    <w:rsid w:val="24E0742D"/>
    <w:rsid w:val="24EF7670"/>
    <w:rsid w:val="251175E6"/>
    <w:rsid w:val="252A68FA"/>
    <w:rsid w:val="254B6F9C"/>
    <w:rsid w:val="254C061E"/>
    <w:rsid w:val="2556149D"/>
    <w:rsid w:val="25BB0CC3"/>
    <w:rsid w:val="25EA2F9C"/>
    <w:rsid w:val="26226C5D"/>
    <w:rsid w:val="2663431E"/>
    <w:rsid w:val="26FA72C2"/>
    <w:rsid w:val="270E64D3"/>
    <w:rsid w:val="279462AC"/>
    <w:rsid w:val="28553C8E"/>
    <w:rsid w:val="285F2D5E"/>
    <w:rsid w:val="28790EF5"/>
    <w:rsid w:val="28C92CBB"/>
    <w:rsid w:val="28E868B0"/>
    <w:rsid w:val="290C4C94"/>
    <w:rsid w:val="294C6E3F"/>
    <w:rsid w:val="295C2DFA"/>
    <w:rsid w:val="29CE1F49"/>
    <w:rsid w:val="29FE21D6"/>
    <w:rsid w:val="2A9E23A4"/>
    <w:rsid w:val="2AFA28CA"/>
    <w:rsid w:val="2BE07D12"/>
    <w:rsid w:val="2C0A4D8F"/>
    <w:rsid w:val="2C271DE5"/>
    <w:rsid w:val="2C385076"/>
    <w:rsid w:val="2C9A4365"/>
    <w:rsid w:val="2C9A7A52"/>
    <w:rsid w:val="2D215668"/>
    <w:rsid w:val="2D4A18E7"/>
    <w:rsid w:val="2D5B3AF4"/>
    <w:rsid w:val="2DE112C4"/>
    <w:rsid w:val="2E183793"/>
    <w:rsid w:val="2EAD348A"/>
    <w:rsid w:val="2EBE0EDE"/>
    <w:rsid w:val="2F1C5505"/>
    <w:rsid w:val="2F803CE6"/>
    <w:rsid w:val="2FA8573B"/>
    <w:rsid w:val="2FC33BD3"/>
    <w:rsid w:val="304412AC"/>
    <w:rsid w:val="304A60A2"/>
    <w:rsid w:val="30E402A4"/>
    <w:rsid w:val="30E43E01"/>
    <w:rsid w:val="30E67B79"/>
    <w:rsid w:val="31083F93"/>
    <w:rsid w:val="316769E0"/>
    <w:rsid w:val="31BD7D7C"/>
    <w:rsid w:val="32672904"/>
    <w:rsid w:val="32E20814"/>
    <w:rsid w:val="3309293E"/>
    <w:rsid w:val="33922D7B"/>
    <w:rsid w:val="33C148CD"/>
    <w:rsid w:val="342509B8"/>
    <w:rsid w:val="35257131"/>
    <w:rsid w:val="3542559A"/>
    <w:rsid w:val="356B157C"/>
    <w:rsid w:val="357F059C"/>
    <w:rsid w:val="35A707EA"/>
    <w:rsid w:val="35B2271F"/>
    <w:rsid w:val="368C11C2"/>
    <w:rsid w:val="36F32FEF"/>
    <w:rsid w:val="373D070E"/>
    <w:rsid w:val="377D0B0B"/>
    <w:rsid w:val="37C82C94"/>
    <w:rsid w:val="37EB6F48"/>
    <w:rsid w:val="38871C41"/>
    <w:rsid w:val="38C718C7"/>
    <w:rsid w:val="39A56EBD"/>
    <w:rsid w:val="3A744536"/>
    <w:rsid w:val="3AB1338A"/>
    <w:rsid w:val="3AF37D33"/>
    <w:rsid w:val="3B141786"/>
    <w:rsid w:val="3B2F036E"/>
    <w:rsid w:val="3B385475"/>
    <w:rsid w:val="3BD258C9"/>
    <w:rsid w:val="3BEC625F"/>
    <w:rsid w:val="3BFA6B84"/>
    <w:rsid w:val="3C1108C0"/>
    <w:rsid w:val="3C1852A6"/>
    <w:rsid w:val="3C3C2D43"/>
    <w:rsid w:val="3CC147F6"/>
    <w:rsid w:val="3D367D36"/>
    <w:rsid w:val="3D9803AD"/>
    <w:rsid w:val="3DD75110"/>
    <w:rsid w:val="3DDB63EB"/>
    <w:rsid w:val="3E9230EE"/>
    <w:rsid w:val="3EAA55A5"/>
    <w:rsid w:val="3EFF1631"/>
    <w:rsid w:val="3F623810"/>
    <w:rsid w:val="3FA255B3"/>
    <w:rsid w:val="3FFA096E"/>
    <w:rsid w:val="40073668"/>
    <w:rsid w:val="400F4B9B"/>
    <w:rsid w:val="4010076E"/>
    <w:rsid w:val="406749C8"/>
    <w:rsid w:val="407C22A8"/>
    <w:rsid w:val="41847666"/>
    <w:rsid w:val="41AB4D3E"/>
    <w:rsid w:val="41C061C4"/>
    <w:rsid w:val="41E74672"/>
    <w:rsid w:val="42057FAC"/>
    <w:rsid w:val="42066D19"/>
    <w:rsid w:val="42312C1E"/>
    <w:rsid w:val="431D791B"/>
    <w:rsid w:val="43301127"/>
    <w:rsid w:val="435A3A27"/>
    <w:rsid w:val="43E21F24"/>
    <w:rsid w:val="43F809F6"/>
    <w:rsid w:val="44226CC2"/>
    <w:rsid w:val="442962A2"/>
    <w:rsid w:val="44D77AAC"/>
    <w:rsid w:val="44DE52DF"/>
    <w:rsid w:val="44EE727B"/>
    <w:rsid w:val="45085EB8"/>
    <w:rsid w:val="451C5E07"/>
    <w:rsid w:val="453A628D"/>
    <w:rsid w:val="45496309"/>
    <w:rsid w:val="456450B8"/>
    <w:rsid w:val="458F634A"/>
    <w:rsid w:val="45A831F7"/>
    <w:rsid w:val="45AF4585"/>
    <w:rsid w:val="45BE3CD9"/>
    <w:rsid w:val="45CB1F02"/>
    <w:rsid w:val="4629258A"/>
    <w:rsid w:val="467A5994"/>
    <w:rsid w:val="46E62229"/>
    <w:rsid w:val="47215957"/>
    <w:rsid w:val="47305B9A"/>
    <w:rsid w:val="474653BD"/>
    <w:rsid w:val="4762530A"/>
    <w:rsid w:val="47717F92"/>
    <w:rsid w:val="4797200E"/>
    <w:rsid w:val="47975C19"/>
    <w:rsid w:val="48B819A3"/>
    <w:rsid w:val="493354CD"/>
    <w:rsid w:val="497F0713"/>
    <w:rsid w:val="49E21C9A"/>
    <w:rsid w:val="4A1238E7"/>
    <w:rsid w:val="4A155AE7"/>
    <w:rsid w:val="4AE0522F"/>
    <w:rsid w:val="4B3B50B5"/>
    <w:rsid w:val="4B475260"/>
    <w:rsid w:val="4B5856BF"/>
    <w:rsid w:val="4B8B7843"/>
    <w:rsid w:val="4C392DFB"/>
    <w:rsid w:val="4C7B6174"/>
    <w:rsid w:val="4CF81793"/>
    <w:rsid w:val="4D2E66D8"/>
    <w:rsid w:val="4DB7491F"/>
    <w:rsid w:val="4E2850FC"/>
    <w:rsid w:val="4E910D5D"/>
    <w:rsid w:val="4EE259CC"/>
    <w:rsid w:val="4F4C6AE6"/>
    <w:rsid w:val="4F734876"/>
    <w:rsid w:val="4FBD3D43"/>
    <w:rsid w:val="4FFFEDC3"/>
    <w:rsid w:val="503874F1"/>
    <w:rsid w:val="50A53155"/>
    <w:rsid w:val="511531C6"/>
    <w:rsid w:val="51A159FE"/>
    <w:rsid w:val="52287B99"/>
    <w:rsid w:val="52333AA7"/>
    <w:rsid w:val="52410C5B"/>
    <w:rsid w:val="5269450D"/>
    <w:rsid w:val="526E3F03"/>
    <w:rsid w:val="529671F9"/>
    <w:rsid w:val="52992845"/>
    <w:rsid w:val="52F8089B"/>
    <w:rsid w:val="533864BD"/>
    <w:rsid w:val="539B439B"/>
    <w:rsid w:val="53B86CFB"/>
    <w:rsid w:val="53EF2308"/>
    <w:rsid w:val="542D593B"/>
    <w:rsid w:val="547D1CF3"/>
    <w:rsid w:val="54975D21"/>
    <w:rsid w:val="54A76A67"/>
    <w:rsid w:val="54BF4E56"/>
    <w:rsid w:val="5503044A"/>
    <w:rsid w:val="56080135"/>
    <w:rsid w:val="562C577E"/>
    <w:rsid w:val="56764C4B"/>
    <w:rsid w:val="567809C3"/>
    <w:rsid w:val="56C67981"/>
    <w:rsid w:val="56CD51B3"/>
    <w:rsid w:val="573A3ECB"/>
    <w:rsid w:val="575B02ED"/>
    <w:rsid w:val="57614FE6"/>
    <w:rsid w:val="57D60097"/>
    <w:rsid w:val="57EE5AE8"/>
    <w:rsid w:val="5866703A"/>
    <w:rsid w:val="58D8399B"/>
    <w:rsid w:val="595465EE"/>
    <w:rsid w:val="598002BB"/>
    <w:rsid w:val="5A0C1B4F"/>
    <w:rsid w:val="5A6A4AC7"/>
    <w:rsid w:val="5A837DC1"/>
    <w:rsid w:val="5ABF12B7"/>
    <w:rsid w:val="5B3F505C"/>
    <w:rsid w:val="5B40223A"/>
    <w:rsid w:val="5B4E6197"/>
    <w:rsid w:val="5B4F7602"/>
    <w:rsid w:val="5B500161"/>
    <w:rsid w:val="5BE57E36"/>
    <w:rsid w:val="5C882305"/>
    <w:rsid w:val="5CE45005"/>
    <w:rsid w:val="5D6B1282"/>
    <w:rsid w:val="5D705536"/>
    <w:rsid w:val="5D7212B5"/>
    <w:rsid w:val="5E0A2849"/>
    <w:rsid w:val="5E3E6CDB"/>
    <w:rsid w:val="5E570491"/>
    <w:rsid w:val="5E6A32E8"/>
    <w:rsid w:val="5E8048B9"/>
    <w:rsid w:val="5E940365"/>
    <w:rsid w:val="5E95226E"/>
    <w:rsid w:val="5EA66A16"/>
    <w:rsid w:val="5ED13367"/>
    <w:rsid w:val="5ED54C05"/>
    <w:rsid w:val="5F381638"/>
    <w:rsid w:val="5F5F6BC4"/>
    <w:rsid w:val="5F8F2016"/>
    <w:rsid w:val="5FE47241"/>
    <w:rsid w:val="5FFB68ED"/>
    <w:rsid w:val="60031CB2"/>
    <w:rsid w:val="608368E3"/>
    <w:rsid w:val="60C413D5"/>
    <w:rsid w:val="6111668E"/>
    <w:rsid w:val="61271964"/>
    <w:rsid w:val="615B6F6B"/>
    <w:rsid w:val="61C471B3"/>
    <w:rsid w:val="623E27EF"/>
    <w:rsid w:val="62C21944"/>
    <w:rsid w:val="62D578C9"/>
    <w:rsid w:val="63422A85"/>
    <w:rsid w:val="63736D0F"/>
    <w:rsid w:val="63BF7C32"/>
    <w:rsid w:val="63EC046F"/>
    <w:rsid w:val="64041E8E"/>
    <w:rsid w:val="646D768E"/>
    <w:rsid w:val="6470717E"/>
    <w:rsid w:val="649D4417"/>
    <w:rsid w:val="65393A14"/>
    <w:rsid w:val="655D6C47"/>
    <w:rsid w:val="658E3D60"/>
    <w:rsid w:val="658F2B3B"/>
    <w:rsid w:val="65BD63F3"/>
    <w:rsid w:val="662D5327"/>
    <w:rsid w:val="66361BAE"/>
    <w:rsid w:val="663F505A"/>
    <w:rsid w:val="66521231"/>
    <w:rsid w:val="666F1DE3"/>
    <w:rsid w:val="66A17A4F"/>
    <w:rsid w:val="66AA05FC"/>
    <w:rsid w:val="66FE6C82"/>
    <w:rsid w:val="676034DA"/>
    <w:rsid w:val="682664D1"/>
    <w:rsid w:val="68297D70"/>
    <w:rsid w:val="685665D7"/>
    <w:rsid w:val="69006D22"/>
    <w:rsid w:val="69056046"/>
    <w:rsid w:val="69111763"/>
    <w:rsid w:val="69823BDB"/>
    <w:rsid w:val="6A2829D5"/>
    <w:rsid w:val="6A2C3B47"/>
    <w:rsid w:val="6AC36259"/>
    <w:rsid w:val="6AF91C7B"/>
    <w:rsid w:val="6B3C7509"/>
    <w:rsid w:val="6B67752D"/>
    <w:rsid w:val="6B6F1F3D"/>
    <w:rsid w:val="6B7645C5"/>
    <w:rsid w:val="6C430180"/>
    <w:rsid w:val="6C507FC1"/>
    <w:rsid w:val="6CA87DFD"/>
    <w:rsid w:val="6CCA5E07"/>
    <w:rsid w:val="6D943EDD"/>
    <w:rsid w:val="6E1E6C74"/>
    <w:rsid w:val="6E396833"/>
    <w:rsid w:val="6E5978B6"/>
    <w:rsid w:val="6EC1605C"/>
    <w:rsid w:val="6F06541D"/>
    <w:rsid w:val="6F1E7F02"/>
    <w:rsid w:val="6F2F65B3"/>
    <w:rsid w:val="6F767D3E"/>
    <w:rsid w:val="70001CFE"/>
    <w:rsid w:val="70860455"/>
    <w:rsid w:val="70DE7195"/>
    <w:rsid w:val="70F73101"/>
    <w:rsid w:val="7101188A"/>
    <w:rsid w:val="71184E25"/>
    <w:rsid w:val="71245578"/>
    <w:rsid w:val="715776FB"/>
    <w:rsid w:val="71F210A6"/>
    <w:rsid w:val="72CC0A62"/>
    <w:rsid w:val="73342A8E"/>
    <w:rsid w:val="7350022B"/>
    <w:rsid w:val="73AF381F"/>
    <w:rsid w:val="73C60B68"/>
    <w:rsid w:val="74DA4670"/>
    <w:rsid w:val="75BC0475"/>
    <w:rsid w:val="75E11C8A"/>
    <w:rsid w:val="75F052ED"/>
    <w:rsid w:val="762D4ECF"/>
    <w:rsid w:val="76FD6F97"/>
    <w:rsid w:val="77212C85"/>
    <w:rsid w:val="77236647"/>
    <w:rsid w:val="7808174F"/>
    <w:rsid w:val="780D13B5"/>
    <w:rsid w:val="78197E01"/>
    <w:rsid w:val="785D5F16"/>
    <w:rsid w:val="789C3DC3"/>
    <w:rsid w:val="78AC657F"/>
    <w:rsid w:val="78FB5758"/>
    <w:rsid w:val="79004B1D"/>
    <w:rsid w:val="797846B3"/>
    <w:rsid w:val="79BC128C"/>
    <w:rsid w:val="79E32474"/>
    <w:rsid w:val="7A2806AC"/>
    <w:rsid w:val="7A566D58"/>
    <w:rsid w:val="7B09415C"/>
    <w:rsid w:val="7B851309"/>
    <w:rsid w:val="7B8B5094"/>
    <w:rsid w:val="7B9C0D55"/>
    <w:rsid w:val="7BCF6656"/>
    <w:rsid w:val="7BE14791"/>
    <w:rsid w:val="7D0970E6"/>
    <w:rsid w:val="7D126505"/>
    <w:rsid w:val="7D176902"/>
    <w:rsid w:val="7D273B57"/>
    <w:rsid w:val="7D474AC8"/>
    <w:rsid w:val="7D4E7230"/>
    <w:rsid w:val="7DCE2E07"/>
    <w:rsid w:val="7DD10836"/>
    <w:rsid w:val="7EFE1AFE"/>
    <w:rsid w:val="7F0F1615"/>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3"/>
    <w:next w:val="4"/>
    <w:link w:val="30"/>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3">
    <w:name w:val="heading 3"/>
    <w:basedOn w:val="4"/>
    <w:next w:val="1"/>
    <w:link w:val="32"/>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3"/>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31"/>
    <w:qFormat/>
    <w:uiPriority w:val="0"/>
    <w:pPr>
      <w:ind w:firstLine="420"/>
    </w:pPr>
    <w:rPr>
      <w:rFonts w:hAnsi="Verdana" w:cs="Times New Roman"/>
      <w:bCs/>
      <w:szCs w:val="24"/>
    </w:rPr>
  </w:style>
  <w:style w:type="paragraph" w:styleId="6">
    <w:name w:val="Body Text"/>
    <w:basedOn w:val="1"/>
    <w:next w:val="1"/>
    <w:unhideWhenUsed/>
    <w:qFormat/>
    <w:uiPriority w:val="99"/>
    <w:rPr>
      <w:rFonts w:asciiTheme="minorHAnsi" w:hAnsiTheme="minorHAnsi" w:cstheme="minorBidi"/>
      <w:szCs w:val="22"/>
    </w:rPr>
  </w:style>
  <w:style w:type="paragraph" w:styleId="7">
    <w:name w:val="Document Map"/>
    <w:basedOn w:val="1"/>
    <w:link w:val="37"/>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qFormat/>
    <w:uiPriority w:val="0"/>
    <w:pPr>
      <w:spacing w:line="360" w:lineRule="auto"/>
      <w:ind w:firstLine="420" w:firstLineChars="200"/>
    </w:pPr>
  </w:style>
  <w:style w:type="paragraph" w:styleId="10">
    <w:name w:val="Plain Text"/>
    <w:basedOn w:val="1"/>
    <w:link w:val="41"/>
    <w:semiHidden/>
    <w:unhideWhenUsed/>
    <w:qFormat/>
    <w:uiPriority w:val="99"/>
    <w:rPr>
      <w:rFonts w:ascii="宋体" w:hAnsi="Courier New" w:cs="Times New Roman"/>
      <w:szCs w:val="20"/>
    </w:rPr>
  </w:style>
  <w:style w:type="paragraph" w:styleId="11">
    <w:name w:val="Balloon Text"/>
    <w:basedOn w:val="1"/>
    <w:link w:val="35"/>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ind w:left="200" w:leftChars="200" w:hanging="200" w:hangingChars="200"/>
    </w:pPr>
    <w:rPr>
      <w:rFonts w:eastAsia="等线"/>
      <w:szCs w:val="21"/>
    </w:rPr>
  </w:style>
  <w:style w:type="paragraph" w:styleId="15">
    <w:name w:val="Body Text 2"/>
    <w:basedOn w:val="1"/>
    <w:qFormat/>
    <w:uiPriority w:val="0"/>
    <w:pPr>
      <w:spacing w:line="360" w:lineRule="auto"/>
    </w:pPr>
    <w:rPr>
      <w:sz w:val="24"/>
    </w:rPr>
  </w:style>
  <w:style w:type="paragraph" w:styleId="16">
    <w:name w:val="Normal (Web)"/>
    <w:basedOn w:val="1"/>
    <w:link w:val="40"/>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9"/>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rFonts w:eastAsia="宋体"/>
      <w:color w:val="0000FF"/>
      <w:kern w:val="2"/>
      <w:sz w:val="24"/>
      <w:szCs w:val="24"/>
      <w:u w:val="single"/>
      <w:lang w:val="en-US" w:eastAsia="zh-CN" w:bidi="ar-SA"/>
    </w:rPr>
  </w:style>
  <w:style w:type="character" w:styleId="23">
    <w:name w:val="annotation reference"/>
    <w:basedOn w:val="21"/>
    <w:qFormat/>
    <w:uiPriority w:val="99"/>
    <w:rPr>
      <w:sz w:val="21"/>
      <w:szCs w:val="21"/>
    </w:rPr>
  </w:style>
  <w:style w:type="paragraph" w:styleId="24">
    <w:name w:val="Quote"/>
    <w:basedOn w:val="1"/>
    <w:next w:val="1"/>
    <w:qFormat/>
    <w:uiPriority w:val="99"/>
    <w:rPr>
      <w:rFonts w:ascii="Calibri" w:hAnsi="Calibri" w:cs="Calibri"/>
      <w:i/>
      <w:iCs/>
      <w:color w:val="000000"/>
      <w:sz w:val="22"/>
      <w:szCs w:val="22"/>
    </w:rPr>
  </w:style>
  <w:style w:type="paragraph" w:customStyle="1" w:styleId="25">
    <w:name w:val="表格文字"/>
    <w:basedOn w:val="1"/>
    <w:qFormat/>
    <w:uiPriority w:val="99"/>
    <w:pPr>
      <w:spacing w:before="25" w:after="25"/>
    </w:pPr>
    <w:rPr>
      <w:spacing w:val="10"/>
      <w:sz w:val="24"/>
    </w:rPr>
  </w:style>
  <w:style w:type="paragraph" w:customStyle="1" w:styleId="26">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7">
    <w:name w:val="默认段落字体 Para Char Char Char Char"/>
    <w:basedOn w:val="1"/>
    <w:qFormat/>
    <w:uiPriority w:val="99"/>
    <w:rPr>
      <w:rFonts w:ascii="Times New Roman" w:hAnsi="Times New Roman" w:cs="Times New Roman"/>
    </w:rPr>
  </w:style>
  <w:style w:type="character" w:customStyle="1" w:styleId="28">
    <w:name w:val="页眉 Char"/>
    <w:basedOn w:val="21"/>
    <w:link w:val="13"/>
    <w:qFormat/>
    <w:uiPriority w:val="99"/>
    <w:rPr>
      <w:rFonts w:cs="Calibri"/>
      <w:sz w:val="18"/>
      <w:szCs w:val="18"/>
    </w:rPr>
  </w:style>
  <w:style w:type="character" w:customStyle="1" w:styleId="29">
    <w:name w:val="页脚 Char"/>
    <w:basedOn w:val="21"/>
    <w:link w:val="12"/>
    <w:qFormat/>
    <w:uiPriority w:val="99"/>
    <w:rPr>
      <w:rFonts w:cs="Calibri"/>
      <w:sz w:val="18"/>
      <w:szCs w:val="18"/>
    </w:rPr>
  </w:style>
  <w:style w:type="character" w:customStyle="1" w:styleId="30">
    <w:name w:val="标题 2 Char"/>
    <w:basedOn w:val="21"/>
    <w:link w:val="2"/>
    <w:qFormat/>
    <w:uiPriority w:val="0"/>
    <w:rPr>
      <w:rFonts w:ascii="宋体" w:hAnsi="宋体"/>
      <w:b/>
      <w:sz w:val="24"/>
    </w:rPr>
  </w:style>
  <w:style w:type="character" w:customStyle="1" w:styleId="31">
    <w:name w:val="正文缩进 Char"/>
    <w:basedOn w:val="21"/>
    <w:link w:val="5"/>
    <w:qFormat/>
    <w:uiPriority w:val="0"/>
    <w:rPr>
      <w:rFonts w:hAnsi="Verdana"/>
      <w:bCs/>
      <w:kern w:val="2"/>
      <w:sz w:val="21"/>
      <w:szCs w:val="24"/>
    </w:rPr>
  </w:style>
  <w:style w:type="character" w:customStyle="1" w:styleId="32">
    <w:name w:val="标题 3 Char"/>
    <w:basedOn w:val="21"/>
    <w:link w:val="3"/>
    <w:semiHidden/>
    <w:qFormat/>
    <w:uiPriority w:val="0"/>
    <w:rPr>
      <w:rFonts w:cs="Calibri"/>
      <w:b/>
      <w:bCs/>
      <w:kern w:val="2"/>
      <w:sz w:val="32"/>
      <w:szCs w:val="32"/>
    </w:rPr>
  </w:style>
  <w:style w:type="character" w:customStyle="1" w:styleId="33">
    <w:name w:val="标题 4 Char"/>
    <w:basedOn w:val="21"/>
    <w:link w:val="4"/>
    <w:semiHidden/>
    <w:qFormat/>
    <w:uiPriority w:val="0"/>
    <w:rPr>
      <w:rFonts w:ascii="Cambria" w:hAnsi="Cambria" w:eastAsia="宋体" w:cs="Times New Roman"/>
      <w:b/>
      <w:bCs/>
      <w:kern w:val="2"/>
      <w:sz w:val="28"/>
      <w:szCs w:val="28"/>
    </w:rPr>
  </w:style>
  <w:style w:type="paragraph" w:customStyle="1" w:styleId="34">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5">
    <w:name w:val="批注框文本 Char"/>
    <w:basedOn w:val="21"/>
    <w:link w:val="11"/>
    <w:semiHidden/>
    <w:qFormat/>
    <w:uiPriority w:val="99"/>
    <w:rPr>
      <w:rFonts w:cs="Calibri"/>
      <w:kern w:val="2"/>
      <w:sz w:val="18"/>
      <w:szCs w:val="18"/>
    </w:rPr>
  </w:style>
  <w:style w:type="paragraph" w:styleId="36">
    <w:name w:val="List Paragraph"/>
    <w:basedOn w:val="1"/>
    <w:qFormat/>
    <w:uiPriority w:val="34"/>
    <w:pPr>
      <w:ind w:firstLine="420" w:firstLineChars="200"/>
    </w:pPr>
  </w:style>
  <w:style w:type="character" w:customStyle="1" w:styleId="37">
    <w:name w:val="文档结构图 Char"/>
    <w:basedOn w:val="21"/>
    <w:link w:val="7"/>
    <w:semiHidden/>
    <w:qFormat/>
    <w:uiPriority w:val="99"/>
    <w:rPr>
      <w:rFonts w:ascii="宋体" w:cs="Calibri"/>
      <w:kern w:val="2"/>
      <w:sz w:val="18"/>
      <w:szCs w:val="18"/>
    </w:rPr>
  </w:style>
  <w:style w:type="paragraph" w:customStyle="1" w:styleId="38">
    <w:name w:val="_Style 1"/>
    <w:basedOn w:val="1"/>
    <w:qFormat/>
    <w:uiPriority w:val="0"/>
  </w:style>
  <w:style w:type="paragraph" w:customStyle="1" w:styleId="39">
    <w:name w:val="_Style 2"/>
    <w:basedOn w:val="1"/>
    <w:qFormat/>
    <w:uiPriority w:val="0"/>
  </w:style>
  <w:style w:type="character" w:customStyle="1" w:styleId="40">
    <w:name w:val="普通(网站) Char"/>
    <w:link w:val="16"/>
    <w:qFormat/>
    <w:uiPriority w:val="99"/>
    <w:rPr>
      <w:rFonts w:ascii="宋体" w:hAnsi="宋体" w:cs="宋体"/>
      <w:sz w:val="24"/>
      <w:szCs w:val="24"/>
    </w:rPr>
  </w:style>
  <w:style w:type="character" w:customStyle="1" w:styleId="41">
    <w:name w:val="纯文本 Char"/>
    <w:basedOn w:val="21"/>
    <w:link w:val="10"/>
    <w:semiHidden/>
    <w:qFormat/>
    <w:uiPriority w:val="99"/>
    <w:rPr>
      <w:rFonts w:ascii="宋体" w:hAnsi="Courier New"/>
      <w:kern w:val="2"/>
      <w:sz w:val="21"/>
    </w:rPr>
  </w:style>
  <w:style w:type="paragraph" w:customStyle="1" w:styleId="42">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3">
    <w:name w:val="列出段落1"/>
    <w:basedOn w:val="1"/>
    <w:qFormat/>
    <w:uiPriority w:val="0"/>
    <w:pPr>
      <w:ind w:firstLine="420" w:firstLineChars="200"/>
    </w:pPr>
    <w:rPr>
      <w:szCs w:val="24"/>
    </w:rPr>
  </w:style>
  <w:style w:type="character" w:customStyle="1" w:styleId="44">
    <w:name w:val="NormalCharacter"/>
    <w:qFormat/>
    <w:uiPriority w:val="0"/>
    <w:rPr>
      <w:kern w:val="2"/>
      <w:sz w:val="21"/>
      <w:szCs w:val="24"/>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 w:type="table" w:customStyle="1" w:styleId="48">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46</Pages>
  <Words>3990</Words>
  <Characters>4004</Characters>
  <Lines>1</Lines>
  <Paragraphs>1</Paragraphs>
  <TotalTime>206</TotalTime>
  <ScaleCrop>false</ScaleCrop>
  <LinksUpToDate>false</LinksUpToDate>
  <CharactersWithSpaces>4867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转转</cp:lastModifiedBy>
  <cp:lastPrinted>2023-05-19T00:05:00Z</cp:lastPrinted>
  <dcterms:modified xsi:type="dcterms:W3CDTF">2025-06-11T07:11:11Z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FF0466FC85254796A95CC9E839E3B0ED_13</vt:lpwstr>
  </property>
  <property fmtid="{D5CDD505-2E9C-101B-9397-08002B2CF9AE}" pid="4" name="KSOTemplateDocerSaveRecord">
    <vt:lpwstr>eyJoZGlkIjoiN2Y4ZDA5ZTk2YzY4YjcyNDA3Y2NhOGY3MmQ2Nzg3NjMiLCJ1c2VySWQiOiI0NDA0ODE5ODgifQ==</vt:lpwstr>
  </property>
</Properties>
</file>