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_GB2312" w:hAnsi="仿宋_GB2312" w:eastAsia="仿宋_GB2312" w:cs="仿宋_GB2312"/>
          <w:b w:val="0"/>
          <w:bCs w:val="0"/>
          <w:sz w:val="32"/>
          <w:szCs w:val="32"/>
          <w:highlight w:val="none"/>
          <w:lang w:val="en-US" w:eastAsia="zh-CN"/>
        </w:rPr>
      </w:pPr>
      <w:bookmarkStart w:id="0" w:name="_GoBack"/>
      <w:bookmarkEnd w:id="0"/>
      <w:r>
        <w:rPr>
          <w:rFonts w:hint="eastAsia" w:ascii="仿宋_GB2312" w:hAnsi="仿宋_GB2312" w:eastAsia="仿宋_GB2312" w:cs="仿宋_GB2312"/>
          <w:b w:val="0"/>
          <w:bCs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龙岗区教育局</w:t>
      </w:r>
      <w:r>
        <w:rPr>
          <w:rFonts w:hint="eastAsia" w:ascii="方正小标宋简体" w:hAnsi="方正小标宋简体" w:eastAsia="方正小标宋简体" w:cs="方正小标宋简体"/>
          <w:b w:val="0"/>
          <w:bCs w:val="0"/>
          <w:sz w:val="44"/>
          <w:szCs w:val="44"/>
          <w:highlight w:val="none"/>
          <w:lang w:val="en-US" w:eastAsia="zh-CN"/>
        </w:rPr>
        <w:t>2025年民办学校内控优化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服务项目采购需求书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中华人民共和国民办教育促进法》《深圳市民办中小学财务管理办法》等相关法律法规和政策，龙岗区教育局组织对全区81所民办学校的内控管理制度检查及优化指导，并对学校管理人员进行内控专项培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预算控制金额（包干）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服务费用（包干）控制价为：人民币14.2万元（所报价格超过预算控制金额作无效投标处理）。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采购方式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自行采购-公开招标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评标方法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当符合性审核合格供应商达三家或三家以上的，由区教育局评标小组以综合评分法确定预中标供应商；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二</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当符合性审核合格供应商不足三家，则作流标处理。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（三）</w:t>
      </w:r>
      <w:r>
        <w:rPr>
          <w:rFonts w:hint="eastAsia" w:ascii="仿宋_GB2312" w:hAnsi="仿宋_GB2312" w:eastAsia="仿宋_GB2312" w:cs="仿宋_GB2312"/>
          <w:b w:val="0"/>
          <w:bCs w:val="0"/>
          <w:sz w:val="32"/>
          <w:szCs w:val="32"/>
          <w:highlight w:val="none"/>
          <w:lang w:val="en-US" w:eastAsia="zh-CN"/>
        </w:rPr>
        <w:t>具体评分项：</w:t>
      </w:r>
    </w:p>
    <w:tbl>
      <w:tblPr>
        <w:tblStyle w:val="13"/>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81"/>
        <w:gridCol w:w="1108"/>
        <w:gridCol w:w="25"/>
        <w:gridCol w:w="712"/>
        <w:gridCol w:w="7"/>
        <w:gridCol w:w="705"/>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3238" w:type="dxa"/>
            <w:gridSpan w:val="6"/>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评分项</w:t>
            </w:r>
          </w:p>
        </w:tc>
        <w:tc>
          <w:tcPr>
            <w:tcW w:w="5935"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(一)</w:t>
            </w:r>
          </w:p>
        </w:tc>
        <w:tc>
          <w:tcPr>
            <w:tcW w:w="3238" w:type="dxa"/>
            <w:gridSpan w:val="6"/>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价格</w:t>
            </w:r>
          </w:p>
        </w:tc>
        <w:tc>
          <w:tcPr>
            <w:tcW w:w="593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restart"/>
            <w:vAlign w:val="center"/>
          </w:tcPr>
          <w:p>
            <w:pPr>
              <w:jc w:val="center"/>
              <w:rPr>
                <w:rFonts w:hint="eastAsia" w:ascii="仿宋" w:hAnsi="仿宋" w:eastAsia="仿宋" w:cs="仿宋"/>
                <w:szCs w:val="21"/>
                <w:highlight w:val="none"/>
                <w:lang w:val="en-US" w:eastAsia="zh-CN"/>
              </w:rPr>
            </w:pPr>
          </w:p>
        </w:tc>
        <w:tc>
          <w:tcPr>
            <w:tcW w:w="681" w:type="dxa"/>
            <w:vAlign w:val="center"/>
          </w:tcPr>
          <w:p>
            <w:pPr>
              <w:jc w:val="center"/>
              <w:rPr>
                <w:rFonts w:hint="eastAsia" w:ascii="仿宋" w:hAnsi="仿宋" w:eastAsia="仿宋" w:cs="仿宋"/>
                <w:b/>
                <w:szCs w:val="21"/>
                <w:highlight w:val="none"/>
              </w:rPr>
            </w:pPr>
            <w:r>
              <w:rPr>
                <w:rFonts w:hint="eastAsia" w:ascii="仿宋" w:hAnsi="仿宋" w:eastAsia="仿宋" w:cs="仿宋"/>
                <w:szCs w:val="21"/>
                <w:highlight w:val="none"/>
              </w:rPr>
              <w:t>序号</w:t>
            </w:r>
          </w:p>
        </w:tc>
        <w:tc>
          <w:tcPr>
            <w:tcW w:w="1133" w:type="dxa"/>
            <w:gridSpan w:val="2"/>
            <w:vAlign w:val="center"/>
          </w:tcPr>
          <w:p>
            <w:pPr>
              <w:jc w:val="center"/>
              <w:rPr>
                <w:rFonts w:hint="eastAsia" w:ascii="仿宋" w:hAnsi="仿宋" w:eastAsia="仿宋" w:cs="仿宋"/>
                <w:b/>
                <w:szCs w:val="21"/>
                <w:highlight w:val="none"/>
              </w:rPr>
            </w:pPr>
            <w:r>
              <w:rPr>
                <w:rFonts w:hint="eastAsia" w:ascii="仿宋" w:hAnsi="仿宋" w:eastAsia="仿宋" w:cs="仿宋"/>
                <w:szCs w:val="21"/>
                <w:highlight w:val="none"/>
              </w:rPr>
              <w:t>评分因素</w:t>
            </w:r>
          </w:p>
        </w:tc>
        <w:tc>
          <w:tcPr>
            <w:tcW w:w="719" w:type="dxa"/>
            <w:gridSpan w:val="2"/>
            <w:vAlign w:val="center"/>
          </w:tcPr>
          <w:p>
            <w:pPr>
              <w:jc w:val="center"/>
              <w:rPr>
                <w:rFonts w:hint="eastAsia" w:ascii="仿宋" w:hAnsi="仿宋" w:eastAsia="仿宋" w:cs="仿宋"/>
                <w:b/>
                <w:szCs w:val="21"/>
                <w:highlight w:val="none"/>
                <w:lang w:eastAsia="zh-CN"/>
              </w:rPr>
            </w:pPr>
            <w:r>
              <w:rPr>
                <w:rFonts w:hint="eastAsia" w:ascii="仿宋" w:hAnsi="仿宋" w:eastAsia="仿宋" w:cs="仿宋"/>
                <w:szCs w:val="21"/>
                <w:highlight w:val="none"/>
                <w:lang w:val="en-US" w:eastAsia="zh-CN"/>
              </w:rPr>
              <w:t>分值</w:t>
            </w:r>
          </w:p>
        </w:tc>
        <w:tc>
          <w:tcPr>
            <w:tcW w:w="705" w:type="dxa"/>
            <w:vAlign w:val="center"/>
          </w:tcPr>
          <w:p>
            <w:pPr>
              <w:jc w:val="center"/>
              <w:rPr>
                <w:rFonts w:hint="eastAsia" w:ascii="仿宋" w:hAnsi="仿宋" w:eastAsia="仿宋" w:cs="仿宋"/>
                <w:b/>
                <w:szCs w:val="21"/>
                <w:highlight w:val="none"/>
              </w:rPr>
            </w:pPr>
            <w:r>
              <w:rPr>
                <w:rFonts w:hint="eastAsia" w:ascii="仿宋" w:hAnsi="仿宋" w:eastAsia="仿宋" w:cs="仿宋"/>
                <w:szCs w:val="21"/>
                <w:highlight w:val="none"/>
              </w:rPr>
              <w:t>评分方式</w:t>
            </w:r>
          </w:p>
        </w:tc>
        <w:tc>
          <w:tcPr>
            <w:tcW w:w="5935" w:type="dxa"/>
            <w:vAlign w:val="center"/>
          </w:tcPr>
          <w:p>
            <w:pPr>
              <w:jc w:val="center"/>
              <w:rPr>
                <w:rFonts w:hint="eastAsia" w:ascii="仿宋" w:hAnsi="仿宋" w:eastAsia="仿宋" w:cs="仿宋"/>
                <w:b/>
                <w:szCs w:val="21"/>
                <w:highlight w:val="none"/>
                <w:lang w:val="en-US" w:eastAsia="zh-CN"/>
              </w:rPr>
            </w:pPr>
            <w:r>
              <w:rPr>
                <w:rFonts w:hint="eastAsia" w:ascii="仿宋" w:hAnsi="仿宋" w:eastAsia="仿宋" w:cs="仿宋"/>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top"/>
          </w:tcPr>
          <w:p>
            <w:pPr>
              <w:jc w:val="both"/>
              <w:rPr>
                <w:rFonts w:hint="eastAsia" w:ascii="仿宋" w:hAnsi="仿宋" w:eastAsia="仿宋" w:cs="仿宋"/>
                <w:szCs w:val="21"/>
                <w:highlight w:val="none"/>
                <w:lang w:val="en-US" w:eastAsia="zh-CN"/>
              </w:rPr>
            </w:pPr>
          </w:p>
        </w:tc>
        <w:tc>
          <w:tcPr>
            <w:tcW w:w="681" w:type="dxa"/>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w:t>
            </w:r>
          </w:p>
        </w:tc>
        <w:tc>
          <w:tcPr>
            <w:tcW w:w="1133" w:type="dxa"/>
            <w:gridSpan w:val="2"/>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价格</w:t>
            </w:r>
          </w:p>
        </w:tc>
        <w:tc>
          <w:tcPr>
            <w:tcW w:w="719" w:type="dxa"/>
            <w:gridSpan w:val="2"/>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10</w:t>
            </w:r>
          </w:p>
        </w:tc>
        <w:tc>
          <w:tcPr>
            <w:tcW w:w="705" w:type="dxa"/>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按公式计算</w:t>
            </w:r>
          </w:p>
        </w:tc>
        <w:tc>
          <w:tcPr>
            <w:tcW w:w="5935" w:type="dxa"/>
            <w:vAlign w:val="top"/>
          </w:tcPr>
          <w:p>
            <w:pPr>
              <w:jc w:val="both"/>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价格分计算方法：采用低价优先法计算，即满足招标文件要求且投标价格最低的投标报价为评标基准价，其价格分为满分。其他投标人的价格分统一按照下列公式计算：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9"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（二）</w:t>
            </w:r>
          </w:p>
        </w:tc>
        <w:tc>
          <w:tcPr>
            <w:tcW w:w="3238" w:type="dxa"/>
            <w:gridSpan w:val="6"/>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技术服务部分</w:t>
            </w:r>
          </w:p>
        </w:tc>
        <w:tc>
          <w:tcPr>
            <w:tcW w:w="593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restart"/>
            <w:vAlign w:val="center"/>
          </w:tcPr>
          <w:p>
            <w:pPr>
              <w:jc w:val="center"/>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719" w:type="dxa"/>
            <w:gridSpan w:val="2"/>
            <w:vAlign w:val="center"/>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分值</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评分方式</w:t>
            </w:r>
          </w:p>
        </w:tc>
        <w:tc>
          <w:tcPr>
            <w:tcW w:w="593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服务</w:t>
            </w:r>
            <w:r>
              <w:rPr>
                <w:rFonts w:hint="eastAsia" w:ascii="仿宋" w:hAnsi="仿宋" w:eastAsia="仿宋" w:cs="仿宋"/>
                <w:szCs w:val="21"/>
                <w:highlight w:val="none"/>
                <w:lang w:val="en-US" w:eastAsia="zh-CN"/>
              </w:rPr>
              <w:t>整体</w:t>
            </w:r>
            <w:r>
              <w:rPr>
                <w:rFonts w:hint="eastAsia" w:ascii="仿宋" w:hAnsi="仿宋" w:eastAsia="仿宋" w:cs="仿宋"/>
                <w:szCs w:val="21"/>
                <w:highlight w:val="none"/>
              </w:rPr>
              <w:t>方案</w:t>
            </w:r>
          </w:p>
        </w:tc>
        <w:tc>
          <w:tcPr>
            <w:tcW w:w="719" w:type="dxa"/>
            <w:gridSpan w:val="2"/>
            <w:vAlign w:val="center"/>
          </w:tcPr>
          <w:p>
            <w:pPr>
              <w:jc w:val="center"/>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lang w:val="en-US" w:eastAsia="zh-CN"/>
              </w:rPr>
              <w:t>根据采购需求书，</w:t>
            </w:r>
            <w:r>
              <w:rPr>
                <w:rFonts w:hint="eastAsia" w:ascii="仿宋" w:hAnsi="仿宋" w:eastAsia="仿宋" w:cs="仿宋"/>
                <w:szCs w:val="21"/>
                <w:highlight w:val="none"/>
              </w:rPr>
              <w:t>针对</w:t>
            </w:r>
            <w:r>
              <w:rPr>
                <w:rFonts w:hint="eastAsia" w:ascii="仿宋" w:hAnsi="仿宋" w:eastAsia="仿宋" w:cs="仿宋"/>
                <w:szCs w:val="21"/>
                <w:highlight w:val="none"/>
                <w:lang w:val="en-US" w:eastAsia="zh-CN"/>
              </w:rPr>
              <w:t>性</w:t>
            </w:r>
            <w:r>
              <w:rPr>
                <w:rFonts w:hint="eastAsia" w:ascii="仿宋" w:hAnsi="仿宋" w:eastAsia="仿宋" w:cs="仿宋"/>
                <w:szCs w:val="21"/>
                <w:highlight w:val="none"/>
              </w:rPr>
              <w:t>提供本项目的服务工作方案，内容包含：</w:t>
            </w:r>
          </w:p>
          <w:p>
            <w:pPr>
              <w:numPr>
                <w:ilvl w:val="0"/>
                <w:numId w:val="2"/>
              </w:numPr>
              <w:rPr>
                <w:rFonts w:hint="eastAsia" w:ascii="仿宋" w:hAnsi="仿宋" w:eastAsia="仿宋" w:cs="仿宋"/>
                <w:szCs w:val="21"/>
                <w:highlight w:val="none"/>
              </w:rPr>
            </w:pPr>
            <w:r>
              <w:rPr>
                <w:rFonts w:hint="eastAsia" w:ascii="仿宋" w:hAnsi="仿宋" w:eastAsia="仿宋" w:cs="仿宋"/>
                <w:szCs w:val="21"/>
                <w:highlight w:val="none"/>
                <w:lang w:val="en-US" w:eastAsia="zh-CN"/>
              </w:rPr>
              <w:t>内控</w:t>
            </w:r>
            <w:r>
              <w:rPr>
                <w:rFonts w:hint="eastAsia" w:ascii="仿宋" w:hAnsi="仿宋" w:eastAsia="仿宋" w:cs="仿宋"/>
                <w:szCs w:val="21"/>
                <w:highlight w:val="none"/>
              </w:rPr>
              <w:t>服务工作的整体设想及实施</w:t>
            </w:r>
            <w:r>
              <w:rPr>
                <w:rFonts w:hint="eastAsia" w:ascii="仿宋" w:hAnsi="仿宋" w:eastAsia="仿宋" w:cs="仿宋"/>
                <w:szCs w:val="21"/>
                <w:highlight w:val="none"/>
                <w:lang w:val="en-US" w:eastAsia="zh-CN"/>
              </w:rPr>
              <w:t>计划</w:t>
            </w:r>
            <w:r>
              <w:rPr>
                <w:rFonts w:hint="eastAsia" w:ascii="仿宋" w:hAnsi="仿宋" w:eastAsia="仿宋" w:cs="仿宋"/>
                <w:szCs w:val="21"/>
                <w:highlight w:val="none"/>
              </w:rPr>
              <w:t>等；</w:t>
            </w:r>
          </w:p>
          <w:p>
            <w:pPr>
              <w:numPr>
                <w:ilvl w:val="0"/>
                <w:numId w:val="2"/>
              </w:numPr>
              <w:rPr>
                <w:rFonts w:hint="eastAsia" w:ascii="仿宋" w:hAnsi="仿宋" w:eastAsia="仿宋" w:cs="仿宋"/>
                <w:szCs w:val="21"/>
                <w:highlight w:val="none"/>
              </w:rPr>
            </w:pPr>
            <w:r>
              <w:rPr>
                <w:rFonts w:hint="eastAsia" w:ascii="仿宋" w:hAnsi="仿宋" w:eastAsia="仿宋" w:cs="仿宋"/>
                <w:szCs w:val="21"/>
                <w:highlight w:val="none"/>
                <w:lang w:val="en-US" w:eastAsia="zh-CN"/>
              </w:rPr>
              <w:t>实施方案，根据本项目要求制定涵盖六大经济活动的内控管理检查实施方案，</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方案清晰、合理、具有可行性；</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工作方法，应包含进场前的培训、</w:t>
            </w:r>
            <w:r>
              <w:rPr>
                <w:rFonts w:hint="eastAsia" w:ascii="仿宋" w:hAnsi="仿宋" w:eastAsia="仿宋" w:cs="仿宋"/>
                <w:szCs w:val="21"/>
                <w:highlight w:val="none"/>
                <w:lang w:val="en-US" w:eastAsia="zh-CN"/>
              </w:rPr>
              <w:t>检查</w:t>
            </w:r>
            <w:r>
              <w:rPr>
                <w:rFonts w:hint="eastAsia" w:ascii="仿宋" w:hAnsi="仿宋" w:eastAsia="仿宋" w:cs="仿宋"/>
                <w:szCs w:val="21"/>
                <w:highlight w:val="none"/>
              </w:rPr>
              <w:t xml:space="preserve">现场的人员管理等； </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工作流程，应包含与采购单位及被</w:t>
            </w:r>
            <w:r>
              <w:rPr>
                <w:rFonts w:hint="eastAsia" w:ascii="仿宋" w:hAnsi="仿宋" w:eastAsia="仿宋" w:cs="仿宋"/>
                <w:szCs w:val="21"/>
                <w:highlight w:val="none"/>
                <w:lang w:val="en-US" w:eastAsia="zh-CN"/>
              </w:rPr>
              <w:t>检查</w:t>
            </w:r>
            <w:r>
              <w:rPr>
                <w:rFonts w:hint="eastAsia" w:ascii="仿宋" w:hAnsi="仿宋" w:eastAsia="仿宋" w:cs="仿宋"/>
                <w:szCs w:val="21"/>
                <w:highlight w:val="none"/>
              </w:rPr>
              <w:t>单位的对接沟通、实施的</w:t>
            </w:r>
            <w:r>
              <w:rPr>
                <w:rFonts w:hint="eastAsia" w:ascii="仿宋" w:hAnsi="仿宋" w:eastAsia="仿宋" w:cs="仿宋"/>
                <w:szCs w:val="21"/>
                <w:highlight w:val="none"/>
                <w:lang w:val="en-US" w:eastAsia="zh-CN"/>
              </w:rPr>
              <w:t>检查</w:t>
            </w:r>
            <w:r>
              <w:rPr>
                <w:rFonts w:hint="eastAsia" w:ascii="仿宋" w:hAnsi="仿宋" w:eastAsia="仿宋" w:cs="仿宋"/>
                <w:szCs w:val="21"/>
                <w:highlight w:val="none"/>
              </w:rPr>
              <w:t xml:space="preserve">程序等。 </w:t>
            </w:r>
          </w:p>
          <w:p>
            <w:pPr>
              <w:rPr>
                <w:rFonts w:hint="eastAsia" w:ascii="仿宋" w:hAnsi="仿宋" w:eastAsia="仿宋" w:cs="仿宋"/>
                <w:b/>
                <w:bCs/>
                <w:szCs w:val="21"/>
                <w:highlight w:val="none"/>
              </w:rPr>
            </w:pPr>
            <w:r>
              <w:rPr>
                <w:rFonts w:hint="eastAsia" w:ascii="仿宋" w:hAnsi="仿宋" w:eastAsia="仿宋" w:cs="仿宋"/>
                <w:b/>
                <w:bCs/>
                <w:szCs w:val="21"/>
                <w:highlight w:val="none"/>
              </w:rPr>
              <w:t>（二）评分标准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满足以上</w:t>
            </w:r>
            <w:r>
              <w:rPr>
                <w:rFonts w:hint="eastAsia" w:ascii="仿宋" w:hAnsi="仿宋" w:eastAsia="仿宋" w:cs="仿宋"/>
                <w:szCs w:val="21"/>
                <w:highlight w:val="none"/>
                <w:lang w:val="en-US" w:eastAsia="zh-CN"/>
              </w:rPr>
              <w:t>四</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9分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6分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3分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1分，其它情况不得分。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在此基础上，评审委员会根据各投标人的具体响应内容进行综合评价：</w:t>
            </w:r>
          </w:p>
          <w:p>
            <w:pPr>
              <w:rPr>
                <w:rFonts w:hint="eastAsia" w:ascii="仿宋" w:hAnsi="仿宋" w:eastAsia="仿宋" w:cs="仿宋"/>
                <w:szCs w:val="21"/>
                <w:highlight w:val="none"/>
              </w:rPr>
            </w:pPr>
            <w:r>
              <w:rPr>
                <w:rFonts w:hint="eastAsia" w:ascii="仿宋" w:hAnsi="仿宋" w:eastAsia="仿宋" w:cs="仿宋"/>
                <w:szCs w:val="21"/>
                <w:highlight w:val="none"/>
              </w:rPr>
              <w:t>（1）评审为优：</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实施方案的工作内容全面扎实，完全符合项目要求，能够有效达到项目目的；提出的工作方法和手段科学合理，工作流程完整，专业规范，针对性强，具有很好的可行性，</w:t>
            </w:r>
            <w:r>
              <w:rPr>
                <w:rFonts w:hint="eastAsia" w:ascii="仿宋" w:hAnsi="仿宋" w:eastAsia="仿宋" w:cs="仿宋"/>
                <w:szCs w:val="21"/>
                <w:highlight w:val="none"/>
                <w:lang w:val="en-US" w:eastAsia="zh-CN"/>
              </w:rPr>
              <w:t>得6</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（2）评审为良：</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实施方案的工作内容较为全面，较好地符合了项目要求，能够较好地达到项目目的；提出的工作方法和手段较为科学合理，工作流程较为完整，比较专业规范，具备较好的可行性，</w:t>
            </w:r>
            <w:r>
              <w:rPr>
                <w:rFonts w:hint="eastAsia" w:ascii="仿宋" w:hAnsi="仿宋" w:eastAsia="仿宋" w:cs="仿宋"/>
                <w:szCs w:val="21"/>
                <w:highlight w:val="none"/>
                <w:lang w:val="en-US" w:eastAsia="zh-CN"/>
              </w:rPr>
              <w:t>得4</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（3）评审为中：</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实施方案的工作内容涉及项目的主要方面，基本符合项目要求；提出的工作方法和手段科学合理性一般，工作流程完整性一般，可行性一般的，</w:t>
            </w:r>
            <w:r>
              <w:rPr>
                <w:rFonts w:hint="eastAsia" w:ascii="仿宋" w:hAnsi="仿宋" w:eastAsia="仿宋" w:cs="仿宋"/>
                <w:szCs w:val="21"/>
                <w:highlight w:val="none"/>
                <w:lang w:val="en-US" w:eastAsia="zh-CN"/>
              </w:rPr>
              <w:t>得2</w:t>
            </w:r>
            <w:r>
              <w:rPr>
                <w:rFonts w:hint="eastAsia" w:ascii="仿宋" w:hAnsi="仿宋" w:eastAsia="仿宋" w:cs="仿宋"/>
                <w:szCs w:val="21"/>
                <w:highlight w:val="none"/>
              </w:rPr>
              <w:t>分</w:t>
            </w:r>
            <w:r>
              <w:rPr>
                <w:rFonts w:hint="eastAsia" w:ascii="仿宋" w:hAnsi="仿宋" w:eastAsia="仿宋" w:cs="仿宋"/>
                <w:szCs w:val="21"/>
                <w:highlight w:val="none"/>
                <w:lang w:eastAsia="zh-CN"/>
              </w:rPr>
              <w:t>；</w:t>
            </w:r>
          </w:p>
          <w:p>
            <w:pPr>
              <w:jc w:val="both"/>
              <w:rPr>
                <w:rFonts w:hint="eastAsia" w:ascii="仿宋" w:hAnsi="仿宋" w:eastAsia="仿宋" w:cs="仿宋"/>
                <w:color w:val="0000FF"/>
                <w:szCs w:val="21"/>
                <w:highlight w:val="none"/>
              </w:rPr>
            </w:pPr>
            <w:r>
              <w:rPr>
                <w:rFonts w:hint="eastAsia" w:ascii="仿宋" w:hAnsi="仿宋" w:eastAsia="仿宋" w:cs="仿宋"/>
                <w:szCs w:val="21"/>
                <w:highlight w:val="none"/>
              </w:rPr>
              <w:t>（4）评审为差：</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实施方案的工作内容不完整，不符合项目要求，实施后较难达到项目目的；提出的工作方法和手段科学合理性较差，工作流程不完整，可行性较差，</w:t>
            </w:r>
            <w:r>
              <w:rPr>
                <w:rFonts w:hint="eastAsia" w:ascii="仿宋" w:hAnsi="仿宋" w:eastAsia="仿宋" w:cs="仿宋"/>
                <w:szCs w:val="21"/>
                <w:highlight w:val="none"/>
                <w:lang w:val="en-US" w:eastAsia="zh-CN"/>
              </w:rPr>
              <w:t>得0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1133" w:type="dxa"/>
            <w:gridSpan w:val="2"/>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培训工作方案</w:t>
            </w:r>
          </w:p>
        </w:tc>
        <w:tc>
          <w:tcPr>
            <w:tcW w:w="719" w:type="dxa"/>
            <w:gridSpan w:val="2"/>
            <w:vAlign w:val="center"/>
          </w:tcPr>
          <w:p>
            <w:pPr>
              <w:jc w:val="center"/>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shd w:val="clear" w:color="auto" w:fill="auto"/>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专家打分</w:t>
            </w:r>
          </w:p>
        </w:tc>
        <w:tc>
          <w:tcPr>
            <w:tcW w:w="5935" w:type="dxa"/>
            <w:shd w:val="clear" w:color="auto" w:fill="auto"/>
            <w:vAlign w:val="top"/>
          </w:tcPr>
          <w:p>
            <w:pPr>
              <w:widowControl/>
              <w:numPr>
                <w:ilvl w:val="-1"/>
                <w:numId w:val="0"/>
              </w:numPr>
              <w:jc w:val="left"/>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根据投标人对本项目提供的方案进行评价：​</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1、培训组织方案：投标人针对不少于 2 场专题培训制定的组织架构、人员分工、协调机制以及配套服务保障措施；​</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2、培训计划：</w:t>
            </w:r>
            <w:r>
              <w:rPr>
                <w:rFonts w:hint="eastAsia" w:ascii="仿宋" w:hAnsi="仿宋" w:eastAsia="仿宋" w:cs="仿宋"/>
                <w:i w:val="0"/>
                <w:iCs w:val="0"/>
                <w:caps w:val="0"/>
                <w:spacing w:val="0"/>
                <w:sz w:val="21"/>
                <w:szCs w:val="21"/>
                <w:highlight w:val="none"/>
                <w:shd w:val="clear"/>
                <w:lang w:bidi="ar"/>
              </w:rPr>
              <w:t>分阶段的培训时间安排、参训人员</w:t>
            </w:r>
            <w:r>
              <w:rPr>
                <w:rFonts w:hint="eastAsia" w:ascii="仿宋" w:hAnsi="仿宋" w:eastAsia="仿宋" w:cs="仿宋"/>
                <w:i w:val="0"/>
                <w:iCs w:val="0"/>
                <w:caps w:val="0"/>
                <w:spacing w:val="0"/>
                <w:sz w:val="21"/>
                <w:szCs w:val="21"/>
                <w:highlight w:val="none"/>
                <w:shd w:val="clear"/>
                <w:lang w:val="en-US" w:eastAsia="zh-CN" w:bidi="ar"/>
              </w:rPr>
              <w:t>岗位</w:t>
            </w:r>
            <w:r>
              <w:rPr>
                <w:rFonts w:hint="eastAsia" w:ascii="仿宋" w:hAnsi="仿宋" w:eastAsia="仿宋" w:cs="仿宋"/>
                <w:i w:val="0"/>
                <w:iCs w:val="0"/>
                <w:caps w:val="0"/>
                <w:spacing w:val="0"/>
                <w:sz w:val="21"/>
                <w:szCs w:val="21"/>
                <w:highlight w:val="none"/>
                <w:shd w:val="clear"/>
                <w:lang w:bidi="ar"/>
              </w:rPr>
              <w:t>及培训进度规划，明确各阶段的培训目标与预期成果</w:t>
            </w:r>
            <w:r>
              <w:rPr>
                <w:rFonts w:hint="eastAsia" w:ascii="仿宋" w:hAnsi="仿宋" w:eastAsia="仿宋" w:cs="仿宋"/>
                <w:i w:val="0"/>
                <w:iCs w:val="0"/>
                <w:caps w:val="0"/>
                <w:spacing w:val="0"/>
                <w:kern w:val="2"/>
                <w:sz w:val="21"/>
                <w:szCs w:val="21"/>
                <w:highlight w:val="none"/>
                <w:shd w:val="clear"/>
                <w:lang w:val="en-US" w:eastAsia="zh-CN" w:bidi="ar"/>
              </w:rPr>
              <w:t>；​</w:t>
            </w:r>
          </w:p>
          <w:p>
            <w:pPr>
              <w:widowControl/>
              <w:jc w:val="left"/>
              <w:rPr>
                <w:rFonts w:hint="eastAsia" w:ascii="仿宋" w:hAnsi="仿宋" w:eastAsia="仿宋" w:cs="仿宋"/>
                <w:szCs w:val="21"/>
                <w:highlight w:val="none"/>
                <w:lang w:val="en-US" w:eastAsia="zh-CN"/>
              </w:rPr>
            </w:pPr>
            <w:r>
              <w:rPr>
                <w:rFonts w:hint="eastAsia" w:ascii="仿宋" w:hAnsi="仿宋" w:eastAsia="仿宋" w:cs="仿宋"/>
                <w:i w:val="0"/>
                <w:iCs w:val="0"/>
                <w:caps w:val="0"/>
                <w:spacing w:val="0"/>
                <w:kern w:val="2"/>
                <w:sz w:val="21"/>
                <w:szCs w:val="21"/>
                <w:highlight w:val="none"/>
                <w:shd w:val="clear"/>
                <w:lang w:val="en-US" w:eastAsia="zh-CN" w:bidi="ar"/>
              </w:rPr>
              <w:t>3、培训内容：</w:t>
            </w:r>
            <w:r>
              <w:rPr>
                <w:rFonts w:hint="eastAsia" w:ascii="仿宋" w:hAnsi="仿宋" w:eastAsia="仿宋" w:cs="仿宋"/>
                <w:i w:val="0"/>
                <w:iCs w:val="0"/>
                <w:caps w:val="0"/>
                <w:spacing w:val="0"/>
                <w:sz w:val="21"/>
                <w:szCs w:val="21"/>
                <w:highlight w:val="none"/>
                <w:shd w:val="clear"/>
                <w:lang w:bidi="ar"/>
              </w:rPr>
              <w:t>涵盖内控管理理论的系统性讲解、实务操作的具体流程与方法、贴合民办学校管理实际的案例分析，且内容具有实用性和针对性</w:t>
            </w:r>
            <w:r>
              <w:rPr>
                <w:rFonts w:hint="eastAsia" w:ascii="仿宋" w:hAnsi="仿宋" w:eastAsia="仿宋" w:cs="仿宋"/>
                <w:i w:val="0"/>
                <w:iCs w:val="0"/>
                <w:caps w:val="0"/>
                <w:spacing w:val="0"/>
                <w:kern w:val="2"/>
                <w:sz w:val="21"/>
                <w:szCs w:val="21"/>
                <w:highlight w:val="none"/>
                <w:shd w:val="clear"/>
                <w:lang w:val="en-US" w:eastAsia="zh-CN" w:bidi="ar"/>
              </w:rPr>
              <w:t>。</w:t>
            </w:r>
          </w:p>
          <w:p>
            <w:pPr>
              <w:widowControl/>
              <w:jc w:val="left"/>
              <w:rPr>
                <w:rFonts w:hint="eastAsia" w:ascii="仿宋" w:hAnsi="仿宋" w:eastAsia="仿宋" w:cs="仿宋"/>
                <w:b/>
                <w:bCs/>
                <w:szCs w:val="21"/>
                <w:highlight w:val="none"/>
              </w:rPr>
            </w:pPr>
            <w:r>
              <w:rPr>
                <w:rFonts w:hint="eastAsia" w:ascii="仿宋" w:hAnsi="仿宋" w:eastAsia="仿宋" w:cs="仿宋"/>
                <w:szCs w:val="21"/>
                <w:highlight w:val="none"/>
              </w:rPr>
              <w:t> </w:t>
            </w:r>
            <w:r>
              <w:rPr>
                <w:rFonts w:hint="eastAsia" w:ascii="仿宋" w:hAnsi="仿宋" w:eastAsia="仿宋" w:cs="仿宋"/>
                <w:b/>
                <w:bCs/>
                <w:szCs w:val="21"/>
                <w:highlight w:val="none"/>
              </w:rPr>
              <w:t>（二）评分标准</w:t>
            </w:r>
          </w:p>
          <w:p>
            <w:pPr>
              <w:widowControl/>
              <w:spacing w:line="24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提供的方案满足以上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3分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2分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1分，其它情况不得分。</w:t>
            </w:r>
          </w:p>
          <w:p>
            <w:pPr>
              <w:widowControl/>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在此基础上，由评审委员会对具体响应内容进一步评审：</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（1）评审为优：方案全面且细致，培训组织架构合理、分工明确，培训计划科学严谨，培训内容丰富详实、实用性强，得 2 分；​</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（2）评审为良：方案较全面，培训组织安排较合理，培训计划可行，培训内容较丰富、有一定实用性，得 1 分；​</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（3）评审为中：方案不够全面，培训组织与计划存在部分不足，培训内容基本涵盖要求但深度不足，得 0.5 分；​</w:t>
            </w:r>
          </w:p>
          <w:p>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aps w:val="0"/>
                <w:spacing w:val="0"/>
                <w:kern w:val="2"/>
                <w:sz w:val="21"/>
                <w:szCs w:val="21"/>
                <w:highlight w:val="none"/>
                <w:shd w:val="clear"/>
                <w:lang w:val="en-US" w:eastAsia="zh-CN" w:bidi="ar"/>
              </w:rPr>
              <w:t>（4）评审为差：方案不全面，培训组织混乱、计划不合理，培训内容空洞无实用性，得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项目重难点分析</w:t>
            </w:r>
            <w:r>
              <w:rPr>
                <w:rFonts w:hint="eastAsia" w:ascii="仿宋" w:hAnsi="仿宋" w:eastAsia="仿宋" w:cs="仿宋"/>
                <w:szCs w:val="21"/>
                <w:highlight w:val="none"/>
                <w:lang w:eastAsia="zh-CN"/>
              </w:rPr>
              <w:t>、</w:t>
            </w:r>
            <w:r>
              <w:rPr>
                <w:rFonts w:hint="eastAsia" w:ascii="仿宋" w:hAnsi="仿宋" w:eastAsia="仿宋" w:cs="仿宋"/>
                <w:szCs w:val="21"/>
                <w:highlight w:val="none"/>
              </w:rPr>
              <w:t>应对措施</w:t>
            </w:r>
            <w:r>
              <w:rPr>
                <w:rFonts w:hint="eastAsia" w:ascii="仿宋" w:hAnsi="仿宋" w:eastAsia="仿宋" w:cs="仿宋"/>
                <w:szCs w:val="21"/>
                <w:highlight w:val="none"/>
                <w:lang w:val="en-US" w:eastAsia="zh-CN"/>
              </w:rPr>
              <w:t>及相关的合理化建议</w:t>
            </w:r>
          </w:p>
        </w:tc>
        <w:tc>
          <w:tcPr>
            <w:tcW w:w="719" w:type="dxa"/>
            <w:gridSpan w:val="2"/>
            <w:vAlign w:val="center"/>
          </w:tcPr>
          <w:p>
            <w:pPr>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numPr>
                <w:ilvl w:val="0"/>
                <w:numId w:val="0"/>
              </w:numPr>
              <w:rPr>
                <w:rFonts w:hint="eastAsia" w:ascii="仿宋" w:hAnsi="仿宋" w:eastAsia="仿宋" w:cs="仿宋"/>
                <w:b/>
                <w:bCs/>
                <w:szCs w:val="21"/>
                <w:highlight w:val="none"/>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一</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评审内容</w:t>
            </w:r>
          </w:p>
          <w:p>
            <w:pPr>
              <w:jc w:val="both"/>
              <w:rPr>
                <w:rFonts w:hint="eastAsia" w:ascii="仿宋" w:hAnsi="仿宋" w:eastAsia="仿宋" w:cs="仿宋"/>
                <w:b/>
                <w:bCs/>
                <w:szCs w:val="21"/>
                <w:highlight w:val="none"/>
              </w:rPr>
            </w:pPr>
            <w:r>
              <w:rPr>
                <w:rFonts w:hint="eastAsia" w:ascii="仿宋" w:hAnsi="仿宋" w:eastAsia="仿宋" w:cs="仿宋"/>
                <w:szCs w:val="21"/>
                <w:highlight w:val="none"/>
              </w:rPr>
              <w:t>根据投标人对本项目提供的</w:t>
            </w:r>
            <w:r>
              <w:rPr>
                <w:rFonts w:hint="eastAsia" w:ascii="仿宋" w:hAnsi="仿宋" w:eastAsia="仿宋" w:cs="仿宋"/>
                <w:szCs w:val="21"/>
                <w:highlight w:val="none"/>
                <w:lang w:val="en-US" w:eastAsia="zh-CN"/>
              </w:rPr>
              <w:t>项目重难点、措施及建议</w:t>
            </w:r>
            <w:r>
              <w:rPr>
                <w:rFonts w:hint="eastAsia" w:ascii="仿宋" w:hAnsi="仿宋" w:eastAsia="仿宋" w:cs="仿宋"/>
                <w:szCs w:val="21"/>
                <w:highlight w:val="none"/>
              </w:rPr>
              <w:t>进行评价：</w:t>
            </w:r>
          </w:p>
          <w:p>
            <w:pPr>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阐述项目存在的重点难点；</w:t>
            </w:r>
          </w:p>
          <w:p>
            <w:pPr>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根据项目重难点，详细阐述对应的应对措施；</w:t>
            </w:r>
          </w:p>
          <w:p>
            <w:pPr>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向招标方提出项目实施的合理化建议。</w:t>
            </w:r>
          </w:p>
          <w:p>
            <w:pPr>
              <w:rPr>
                <w:rFonts w:hint="eastAsia" w:ascii="仿宋" w:hAnsi="仿宋" w:eastAsia="仿宋" w:cs="仿宋"/>
                <w:b/>
                <w:bCs/>
                <w:szCs w:val="21"/>
                <w:highlight w:val="none"/>
              </w:rPr>
            </w:pPr>
            <w:r>
              <w:rPr>
                <w:rFonts w:hint="eastAsia" w:ascii="仿宋" w:hAnsi="仿宋" w:eastAsia="仿宋" w:cs="仿宋"/>
                <w:szCs w:val="21"/>
                <w:highlight w:val="none"/>
              </w:rPr>
              <w:t> </w:t>
            </w:r>
            <w:r>
              <w:rPr>
                <w:rFonts w:hint="eastAsia" w:ascii="仿宋" w:hAnsi="仿宋" w:eastAsia="仿宋" w:cs="仿宋"/>
                <w:b/>
                <w:bCs/>
                <w:szCs w:val="21"/>
                <w:highlight w:val="none"/>
              </w:rPr>
              <w:t>（二）评分标准</w:t>
            </w:r>
          </w:p>
          <w:p>
            <w:pPr>
              <w:spacing w:line="36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提供的方案满足以上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3分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2分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1分，其它情况不得分。</w:t>
            </w:r>
          </w:p>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在此基础上，由评审委员会对具体响应内容进一步评审：</w:t>
            </w:r>
          </w:p>
          <w:p>
            <w:pPr>
              <w:rPr>
                <w:rFonts w:hint="eastAsia" w:ascii="仿宋" w:hAnsi="仿宋" w:eastAsia="仿宋" w:cs="仿宋"/>
                <w:szCs w:val="21"/>
                <w:highlight w:val="none"/>
              </w:rPr>
            </w:pPr>
            <w:r>
              <w:rPr>
                <w:rFonts w:hint="eastAsia" w:ascii="仿宋" w:hAnsi="仿宋" w:eastAsia="仿宋" w:cs="仿宋"/>
                <w:szCs w:val="21"/>
                <w:highlight w:val="none"/>
              </w:rPr>
              <w:t>（1）评审为优：</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对项目认识理解透彻，重难点分析合理，对应解决方案可行性强，</w:t>
            </w:r>
            <w:r>
              <w:rPr>
                <w:rFonts w:hint="eastAsia" w:ascii="仿宋" w:hAnsi="仿宋" w:eastAsia="仿宋" w:cs="仿宋"/>
                <w:szCs w:val="21"/>
                <w:highlight w:val="none"/>
                <w:lang w:val="en-US" w:eastAsia="zh-CN"/>
              </w:rPr>
              <w:t>得2</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（2）评审为良：</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对项目认识理解较透彻，重难点分析较合理，对应解决方案可行性较强，</w:t>
            </w:r>
            <w:r>
              <w:rPr>
                <w:rFonts w:hint="eastAsia" w:ascii="仿宋" w:hAnsi="仿宋" w:eastAsia="仿宋" w:cs="仿宋"/>
                <w:szCs w:val="21"/>
                <w:highlight w:val="none"/>
                <w:lang w:val="en-US" w:eastAsia="zh-CN"/>
              </w:rPr>
              <w:t>得1</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（3）评审为中：</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对项目认识理解较浅显，重难点分析不够合理，对应解决方案可行性一般，</w:t>
            </w:r>
            <w:r>
              <w:rPr>
                <w:rFonts w:hint="eastAsia" w:ascii="仿宋" w:hAnsi="仿宋" w:eastAsia="仿宋" w:cs="仿宋"/>
                <w:szCs w:val="21"/>
                <w:highlight w:val="none"/>
                <w:lang w:val="en-US" w:eastAsia="zh-CN"/>
              </w:rPr>
              <w:t>得0.5</w:t>
            </w:r>
            <w:r>
              <w:rPr>
                <w:rFonts w:hint="eastAsia" w:ascii="仿宋" w:hAnsi="仿宋" w:eastAsia="仿宋" w:cs="仿宋"/>
                <w:szCs w:val="21"/>
                <w:highlight w:val="none"/>
              </w:rPr>
              <w:t>分；</w:t>
            </w:r>
          </w:p>
          <w:p>
            <w:pPr>
              <w:rPr>
                <w:rFonts w:hint="eastAsia" w:ascii="仿宋" w:hAnsi="仿宋" w:eastAsia="仿宋" w:cs="仿宋"/>
                <w:color w:val="auto"/>
                <w:szCs w:val="21"/>
                <w:highlight w:val="none"/>
              </w:rPr>
            </w:pPr>
            <w:r>
              <w:rPr>
                <w:rFonts w:hint="eastAsia" w:ascii="仿宋" w:hAnsi="仿宋" w:eastAsia="仿宋" w:cs="仿宋"/>
                <w:szCs w:val="21"/>
                <w:highlight w:val="none"/>
              </w:rPr>
              <w:t>（4）评审为差：</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对项目认识理解浅显，重难点分析不合理，对应解决方案可行性差，</w:t>
            </w:r>
            <w:r>
              <w:rPr>
                <w:rFonts w:hint="eastAsia" w:ascii="仿宋" w:hAnsi="仿宋" w:eastAsia="仿宋" w:cs="仿宋"/>
                <w:szCs w:val="21"/>
                <w:highlight w:val="none"/>
                <w:lang w:val="en-US" w:eastAsia="zh-CN"/>
              </w:rPr>
              <w:t>得0分</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质量保障措施及</w:t>
            </w:r>
            <w:r>
              <w:rPr>
                <w:rFonts w:hint="eastAsia" w:ascii="仿宋" w:hAnsi="仿宋" w:eastAsia="仿宋" w:cs="仿宋"/>
                <w:szCs w:val="21"/>
                <w:highlight w:val="none"/>
                <w:lang w:val="en-US" w:eastAsia="zh-CN"/>
              </w:rPr>
              <w:t>应急</w:t>
            </w:r>
            <w:r>
              <w:rPr>
                <w:rFonts w:hint="eastAsia" w:ascii="仿宋" w:hAnsi="仿宋" w:eastAsia="仿宋" w:cs="仿宋"/>
                <w:szCs w:val="21"/>
                <w:highlight w:val="none"/>
              </w:rPr>
              <w:t>方案</w:t>
            </w:r>
          </w:p>
        </w:tc>
        <w:tc>
          <w:tcPr>
            <w:tcW w:w="719" w:type="dxa"/>
            <w:gridSpan w:val="2"/>
            <w:vAlign w:val="center"/>
          </w:tcPr>
          <w:p>
            <w:pPr>
              <w:jc w:val="center"/>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根据投标人对本项目提供的质量保障措施及方案进行评价：</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分阶段项目时间安排、工作进度与阶段性成果；</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为保障按时按质完成项目所制定的时间管理制度与措施、质量管理制度与措施；</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突发情况下的应急保障措施及</w:t>
            </w:r>
            <w:r>
              <w:rPr>
                <w:rFonts w:hint="eastAsia" w:ascii="仿宋" w:hAnsi="仿宋" w:eastAsia="仿宋" w:cs="仿宋"/>
                <w:szCs w:val="21"/>
                <w:highlight w:val="none"/>
                <w:lang w:val="en-US" w:eastAsia="zh-CN"/>
              </w:rPr>
              <w:t>应急</w:t>
            </w:r>
            <w:r>
              <w:rPr>
                <w:rFonts w:hint="eastAsia" w:ascii="仿宋" w:hAnsi="仿宋" w:eastAsia="仿宋" w:cs="仿宋"/>
                <w:szCs w:val="21"/>
                <w:highlight w:val="none"/>
              </w:rPr>
              <w:t>方案</w:t>
            </w:r>
            <w:r>
              <w:rPr>
                <w:rFonts w:hint="eastAsia" w:ascii="仿宋" w:hAnsi="仿宋" w:eastAsia="仿宋" w:cs="仿宋"/>
                <w:szCs w:val="21"/>
                <w:highlight w:val="none"/>
                <w:lang w:eastAsia="zh-CN"/>
              </w:rPr>
              <w:t>。</w:t>
            </w:r>
          </w:p>
          <w:p>
            <w:pPr>
              <w:rPr>
                <w:rFonts w:hint="eastAsia" w:ascii="仿宋" w:hAnsi="仿宋" w:eastAsia="仿宋" w:cs="仿宋"/>
                <w:b/>
                <w:bCs/>
                <w:szCs w:val="21"/>
                <w:highlight w:val="none"/>
              </w:rPr>
            </w:pPr>
            <w:r>
              <w:rPr>
                <w:rFonts w:hint="eastAsia" w:ascii="仿宋" w:hAnsi="仿宋" w:eastAsia="仿宋" w:cs="仿宋"/>
                <w:b/>
                <w:bCs/>
                <w:szCs w:val="21"/>
                <w:highlight w:val="none"/>
              </w:rPr>
              <w:t>（二）评分标准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1、提供的方案满足以上三点的得3分，满足任意两点的得2分，满足任意一点的得1分，其它情况不得分。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2、在此基础上，由评审委员会对具体响应内容进一步评审：</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（1）评审为优：方案全面，科学合理，保证措施可行性强，应急措施全面周到，得2分；</w:t>
            </w:r>
          </w:p>
          <w:p>
            <w:pPr>
              <w:rPr>
                <w:rFonts w:hint="eastAsia" w:ascii="仿宋" w:hAnsi="仿宋" w:eastAsia="仿宋" w:cs="仿宋"/>
                <w:szCs w:val="21"/>
                <w:highlight w:val="none"/>
              </w:rPr>
            </w:pPr>
            <w:r>
              <w:rPr>
                <w:rFonts w:hint="eastAsia" w:ascii="仿宋" w:hAnsi="仿宋" w:eastAsia="仿宋" w:cs="仿宋"/>
                <w:szCs w:val="21"/>
                <w:highlight w:val="none"/>
              </w:rPr>
              <w:t>（2）评审为良：方案较全面，较科学合理，保证措施可行性较强，应急措施较全面周到，</w:t>
            </w:r>
            <w:r>
              <w:rPr>
                <w:rFonts w:hint="eastAsia" w:ascii="仿宋" w:hAnsi="仿宋" w:eastAsia="仿宋" w:cs="仿宋"/>
                <w:szCs w:val="21"/>
                <w:highlight w:val="none"/>
                <w:lang w:val="en-US" w:eastAsia="zh-CN"/>
              </w:rPr>
              <w:t>得1</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（3）评审为中：方案不够全面，科学合理性一般，保证措施可行性一般，应急措施基本到位，</w:t>
            </w:r>
            <w:r>
              <w:rPr>
                <w:rFonts w:hint="eastAsia" w:ascii="仿宋" w:hAnsi="仿宋" w:eastAsia="仿宋" w:cs="仿宋"/>
                <w:szCs w:val="21"/>
                <w:highlight w:val="none"/>
                <w:lang w:val="en-US" w:eastAsia="zh-CN"/>
              </w:rPr>
              <w:t>得0.5</w:t>
            </w:r>
            <w:r>
              <w:rPr>
                <w:rFonts w:hint="eastAsia" w:ascii="仿宋" w:hAnsi="仿宋" w:eastAsia="仿宋" w:cs="仿宋"/>
                <w:szCs w:val="21"/>
                <w:highlight w:val="none"/>
              </w:rPr>
              <w:t>分；</w:t>
            </w:r>
          </w:p>
          <w:p>
            <w:pPr>
              <w:jc w:val="both"/>
              <w:rPr>
                <w:rFonts w:hint="eastAsia" w:ascii="仿宋" w:hAnsi="仿宋" w:eastAsia="仿宋" w:cs="仿宋"/>
                <w:szCs w:val="21"/>
                <w:highlight w:val="none"/>
              </w:rPr>
            </w:pPr>
            <w:r>
              <w:rPr>
                <w:rFonts w:hint="eastAsia" w:ascii="仿宋" w:hAnsi="仿宋" w:eastAsia="仿宋" w:cs="仿宋"/>
                <w:szCs w:val="21"/>
                <w:highlight w:val="none"/>
              </w:rPr>
              <w:t>（4）评审为差：方案不全面，不科学合理，保证措施可行性差，应急措施不到位，</w:t>
            </w:r>
            <w:r>
              <w:rPr>
                <w:rFonts w:hint="eastAsia" w:ascii="仿宋" w:hAnsi="仿宋" w:eastAsia="仿宋" w:cs="仿宋"/>
                <w:szCs w:val="21"/>
                <w:highlight w:val="none"/>
                <w:lang w:val="en-US" w:eastAsia="zh-CN"/>
              </w:rPr>
              <w:t>得0分</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项目完成（服务期满）后的服务承诺</w:t>
            </w:r>
          </w:p>
        </w:tc>
        <w:tc>
          <w:tcPr>
            <w:tcW w:w="719" w:type="dxa"/>
            <w:gridSpan w:val="2"/>
            <w:vAlign w:val="center"/>
          </w:tcPr>
          <w:p>
            <w:pPr>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根据招标文件要求，投标人提供项目完成（服务期满）后的服务承诺函，承诺函格式自拟，包括以下三项内容：</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底稿的存档</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转交及保密</w:t>
            </w:r>
            <w:r>
              <w:rPr>
                <w:rFonts w:hint="eastAsia" w:ascii="仿宋" w:hAnsi="仿宋" w:eastAsia="仿宋" w:cs="仿宋"/>
                <w:szCs w:val="21"/>
                <w:highlight w:val="none"/>
              </w:rPr>
              <w:t>工作；</w:t>
            </w:r>
          </w:p>
          <w:p>
            <w:pPr>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做好后续交接配合工作；</w:t>
            </w:r>
          </w:p>
          <w:p>
            <w:pPr>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w:t>
            </w:r>
            <w:r>
              <w:rPr>
                <w:rFonts w:hint="eastAsia" w:ascii="仿宋" w:hAnsi="仿宋" w:eastAsia="仿宋" w:cs="仿宋"/>
                <w:szCs w:val="21"/>
                <w:highlight w:val="none"/>
              </w:rPr>
              <w:t>服务期满，继续</w:t>
            </w:r>
            <w:r>
              <w:rPr>
                <w:rFonts w:hint="eastAsia" w:ascii="仿宋" w:hAnsi="仿宋" w:eastAsia="仿宋" w:cs="仿宋"/>
                <w:szCs w:val="21"/>
                <w:highlight w:val="none"/>
                <w:lang w:val="en-US" w:eastAsia="zh-CN"/>
              </w:rPr>
              <w:t>向采购单位和被检查学校</w:t>
            </w:r>
            <w:r>
              <w:rPr>
                <w:rFonts w:hint="eastAsia" w:ascii="仿宋" w:hAnsi="仿宋" w:eastAsia="仿宋" w:cs="仿宋"/>
                <w:szCs w:val="21"/>
                <w:highlight w:val="none"/>
              </w:rPr>
              <w:t>提供项目相关的服务。</w:t>
            </w:r>
          </w:p>
          <w:p>
            <w:pPr>
              <w:rPr>
                <w:rFonts w:hint="eastAsia" w:ascii="仿宋" w:hAnsi="仿宋" w:eastAsia="仿宋" w:cs="仿宋"/>
                <w:b/>
                <w:bCs/>
                <w:szCs w:val="21"/>
                <w:highlight w:val="none"/>
              </w:rPr>
            </w:pPr>
            <w:r>
              <w:rPr>
                <w:rFonts w:hint="eastAsia" w:ascii="仿宋" w:hAnsi="仿宋" w:eastAsia="仿宋" w:cs="仿宋"/>
                <w:b/>
                <w:bCs/>
                <w:szCs w:val="21"/>
                <w:highlight w:val="none"/>
              </w:rPr>
              <w:t>（二）评分标准</w:t>
            </w:r>
          </w:p>
          <w:p>
            <w:pPr>
              <w:jc w:val="both"/>
              <w:rPr>
                <w:rFonts w:hint="eastAsia" w:ascii="仿宋" w:hAnsi="仿宋" w:eastAsia="仿宋" w:cs="仿宋"/>
                <w:szCs w:val="21"/>
                <w:highlight w:val="none"/>
              </w:rPr>
            </w:pPr>
            <w:r>
              <w:rPr>
                <w:rFonts w:hint="eastAsia" w:ascii="仿宋" w:hAnsi="仿宋" w:eastAsia="仿宋" w:cs="仿宋"/>
                <w:szCs w:val="21"/>
                <w:highlight w:val="none"/>
              </w:rPr>
              <w:t>提供的承诺包含以上三点的得</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分，未包含完整的不得分。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1133" w:type="dxa"/>
            <w:gridSpan w:val="2"/>
            <w:vAlign w:val="center"/>
          </w:tcPr>
          <w:p>
            <w:pPr>
              <w:spacing w:after="60"/>
              <w:jc w:val="center"/>
              <w:rPr>
                <w:rFonts w:hint="eastAsia" w:ascii="仿宋" w:hAnsi="仿宋" w:eastAsia="仿宋" w:cs="仿宋"/>
                <w:szCs w:val="21"/>
                <w:highlight w:val="none"/>
              </w:rPr>
            </w:pPr>
            <w:r>
              <w:rPr>
                <w:rFonts w:hint="eastAsia" w:ascii="仿宋" w:hAnsi="仿宋" w:eastAsia="仿宋" w:cs="仿宋"/>
                <w:szCs w:val="21"/>
                <w:highlight w:val="none"/>
              </w:rPr>
              <w:t>项目负责人资历评价（仅限一人）</w:t>
            </w:r>
          </w:p>
        </w:tc>
        <w:tc>
          <w:tcPr>
            <w:tcW w:w="719" w:type="dxa"/>
            <w:gridSpan w:val="2"/>
            <w:vAlign w:val="center"/>
          </w:tcPr>
          <w:p>
            <w:pPr>
              <w:spacing w:after="60"/>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val="0"/>
                <w:szCs w:val="21"/>
                <w:highlight w:val="none"/>
                <w:lang w:val="en-US" w:eastAsia="zh-CN"/>
              </w:rPr>
              <w:t>7</w:t>
            </w:r>
          </w:p>
        </w:tc>
        <w:tc>
          <w:tcPr>
            <w:tcW w:w="705" w:type="dxa"/>
            <w:vAlign w:val="center"/>
          </w:tcPr>
          <w:p>
            <w:pPr>
              <w:spacing w:after="60"/>
              <w:jc w:val="center"/>
              <w:rPr>
                <w:rFonts w:hint="eastAsia" w:ascii="仿宋" w:hAnsi="仿宋" w:eastAsia="仿宋" w:cs="仿宋"/>
                <w:szCs w:val="21"/>
                <w:highlight w:val="none"/>
              </w:rPr>
            </w:pPr>
            <w:r>
              <w:rPr>
                <w:rFonts w:hint="eastAsia" w:ascii="仿宋" w:hAnsi="仿宋" w:eastAsia="仿宋" w:cs="仿宋"/>
                <w:bCs/>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一）</w:t>
            </w:r>
            <w:r>
              <w:rPr>
                <w:rFonts w:hint="eastAsia" w:ascii="仿宋" w:hAnsi="仿宋" w:eastAsia="仿宋" w:cs="仿宋"/>
                <w:b/>
                <w:bCs/>
                <w:szCs w:val="21"/>
                <w:highlight w:val="none"/>
              </w:rPr>
              <w:t>评审内容</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拟安排项目负责人（仅限一人）为投标人自有员工（以社保为准），不满足此项要求的，本项不得分，在此基础上：</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具有本科</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或</w:t>
            </w:r>
            <w:r>
              <w:rPr>
                <w:rFonts w:hint="eastAsia" w:ascii="仿宋" w:hAnsi="仿宋" w:eastAsia="仿宋" w:cs="仿宋"/>
                <w:szCs w:val="21"/>
                <w:highlight w:val="none"/>
              </w:rPr>
              <w:t>以上</w:t>
            </w:r>
            <w:r>
              <w:rPr>
                <w:rFonts w:hint="eastAsia" w:ascii="仿宋" w:hAnsi="仿宋" w:eastAsia="仿宋" w:cs="仿宋"/>
                <w:szCs w:val="21"/>
                <w:highlight w:val="none"/>
                <w:lang w:eastAsia="zh-CN"/>
              </w:rPr>
              <w:t>）</w:t>
            </w:r>
            <w:r>
              <w:rPr>
                <w:rFonts w:hint="eastAsia" w:ascii="仿宋" w:hAnsi="仿宋" w:eastAsia="仿宋" w:cs="仿宋"/>
                <w:szCs w:val="21"/>
                <w:highlight w:val="none"/>
              </w:rPr>
              <w:t>学历</w:t>
            </w:r>
            <w:r>
              <w:rPr>
                <w:rFonts w:hint="eastAsia" w:ascii="仿宋" w:hAnsi="仿宋" w:eastAsia="仿宋" w:cs="仿宋"/>
                <w:szCs w:val="21"/>
                <w:highlight w:val="none"/>
                <w:lang w:eastAsia="zh-CN"/>
              </w:rPr>
              <w:t>，</w:t>
            </w:r>
            <w:r>
              <w:rPr>
                <w:rFonts w:hint="eastAsia" w:ascii="仿宋" w:hAnsi="仿宋" w:eastAsia="仿宋" w:cs="仿宋"/>
                <w:szCs w:val="21"/>
                <w:highlight w:val="none"/>
              </w:rPr>
              <w:t>得</w:t>
            </w:r>
            <w:r>
              <w:rPr>
                <w:rFonts w:hint="eastAsia" w:ascii="仿宋" w:hAnsi="仿宋" w:eastAsia="仿宋" w:cs="仿宋"/>
                <w:szCs w:val="21"/>
                <w:highlight w:val="none"/>
                <w:lang w:val="en-US" w:eastAsia="zh-CN"/>
              </w:rPr>
              <w:t>1分</w:t>
            </w:r>
            <w:r>
              <w:rPr>
                <w:rFonts w:hint="eastAsia" w:ascii="仿宋" w:hAnsi="仿宋" w:eastAsia="仿宋" w:cs="仿宋"/>
                <w:szCs w:val="21"/>
                <w:highlight w:val="none"/>
              </w:rPr>
              <w:t>；</w:t>
            </w:r>
          </w:p>
          <w:p>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具</w:t>
            </w:r>
            <w:r>
              <w:rPr>
                <w:rFonts w:hint="eastAsia" w:ascii="仿宋" w:hAnsi="仿宋" w:eastAsia="仿宋" w:cs="仿宋"/>
                <w:szCs w:val="21"/>
                <w:highlight w:val="none"/>
                <w:lang w:eastAsia="zh-CN"/>
              </w:rPr>
              <w:t>有</w:t>
            </w:r>
            <w:r>
              <w:rPr>
                <w:rFonts w:hint="eastAsia" w:ascii="仿宋" w:hAnsi="仿宋" w:eastAsia="仿宋" w:cs="仿宋"/>
                <w:szCs w:val="21"/>
                <w:highlight w:val="none"/>
                <w:lang w:val="en-US" w:eastAsia="zh-CN"/>
              </w:rPr>
              <w:t>注册会计师执业年限：</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（1）执业年限≤5年，得1.5分；</w:t>
            </w:r>
          </w:p>
          <w:p>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（2）5年＜执业年限≤10年，得3分；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（3）执业年限＞10年，得6分；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本小项累计最高得6分。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本</w:t>
            </w:r>
            <w:r>
              <w:rPr>
                <w:rFonts w:hint="eastAsia" w:ascii="仿宋" w:hAnsi="仿宋" w:eastAsia="仿宋" w:cs="仿宋"/>
                <w:szCs w:val="21"/>
                <w:highlight w:val="none"/>
              </w:rPr>
              <w:t>项最高得</w:t>
            </w:r>
            <w:r>
              <w:rPr>
                <w:rFonts w:hint="eastAsia" w:ascii="仿宋" w:hAnsi="仿宋" w:eastAsia="仿宋" w:cs="仿宋"/>
                <w:szCs w:val="21"/>
                <w:highlight w:val="none"/>
                <w:lang w:val="en-US" w:eastAsia="zh-CN"/>
              </w:rPr>
              <w:t>7分</w:t>
            </w:r>
            <w:r>
              <w:rPr>
                <w:rFonts w:hint="eastAsia" w:ascii="仿宋" w:hAnsi="仿宋" w:eastAsia="仿宋" w:cs="仿宋"/>
                <w:szCs w:val="21"/>
                <w:highlight w:val="none"/>
              </w:rPr>
              <w:t>。</w:t>
            </w:r>
          </w:p>
          <w:p>
            <w:pP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二）</w:t>
            </w:r>
            <w:r>
              <w:rPr>
                <w:rFonts w:hint="eastAsia" w:ascii="仿宋" w:hAnsi="仿宋" w:eastAsia="仿宋" w:cs="仿宋"/>
                <w:b/>
                <w:bCs/>
                <w:szCs w:val="21"/>
                <w:highlight w:val="none"/>
                <w:lang w:eastAsia="zh-CN"/>
              </w:rPr>
              <w:t>评分标准</w:t>
            </w:r>
          </w:p>
          <w:p>
            <w:pPr>
              <w:pStyle w:val="7"/>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en-US" w:eastAsia="zh-CN" w:bidi="ar-SA"/>
              </w:rPr>
              <w:t>1、</w:t>
            </w:r>
            <w:r>
              <w:rPr>
                <w:rFonts w:hint="eastAsia" w:ascii="仿宋" w:hAnsi="仿宋" w:eastAsia="仿宋" w:cs="仿宋"/>
                <w:b w:val="0"/>
                <w:bCs w:val="0"/>
                <w:kern w:val="2"/>
                <w:sz w:val="21"/>
                <w:szCs w:val="21"/>
                <w:highlight w:val="none"/>
                <w:lang w:val="zh-CN" w:eastAsia="zh-CN" w:bidi="ar-SA"/>
              </w:rPr>
              <w:t>提供学历证书和学信网查询记录（如学信网无法查询的，还需提供毕业院校、人社部门等颁发机构或监管机构等单位出具的证明作为得分依据）。留学归国人员如无法提供学信网查询记录截图，提供国（境）外学历证书（以及中文翻译件）和教育部留学服务中心出具的国外学历学位认证书</w:t>
            </w:r>
            <w:r>
              <w:rPr>
                <w:rFonts w:hint="eastAsia" w:ascii="仿宋" w:hAnsi="仿宋" w:eastAsia="仿宋" w:cs="仿宋"/>
                <w:b w:val="0"/>
                <w:bCs w:val="0"/>
                <w:kern w:val="2"/>
                <w:sz w:val="21"/>
                <w:szCs w:val="21"/>
                <w:highlight w:val="none"/>
                <w:lang w:val="en-US" w:eastAsia="zh-CN" w:bidi="ar-SA"/>
              </w:rPr>
              <w:t>材料</w:t>
            </w:r>
            <w:r>
              <w:rPr>
                <w:rFonts w:hint="eastAsia" w:ascii="仿宋" w:hAnsi="仿宋" w:eastAsia="仿宋" w:cs="仿宋"/>
                <w:b w:val="0"/>
                <w:bCs w:val="0"/>
                <w:kern w:val="2"/>
                <w:sz w:val="21"/>
                <w:szCs w:val="21"/>
                <w:highlight w:val="none"/>
                <w:lang w:val="zh-CN" w:eastAsia="zh-CN" w:bidi="ar-SA"/>
              </w:rPr>
              <w:t>，或教育部留学服务中心网站（http://zwfw.cscse.edu.cn/）在线查询截图也予以认可。</w:t>
            </w:r>
          </w:p>
          <w:p>
            <w:pPr>
              <w:wordWrap w:val="0"/>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szCs w:val="21"/>
                <w:highlight w:val="none"/>
                <w:lang w:val="en-US" w:eastAsia="zh-CN"/>
              </w:rPr>
              <w:t>2、</w:t>
            </w:r>
            <w:r>
              <w:rPr>
                <w:rFonts w:hint="eastAsia" w:ascii="仿宋" w:hAnsi="仿宋" w:eastAsia="仿宋" w:cs="仿宋"/>
                <w:b w:val="0"/>
                <w:bCs w:val="0"/>
                <w:kern w:val="2"/>
                <w:sz w:val="21"/>
                <w:szCs w:val="21"/>
                <w:highlight w:val="none"/>
                <w:lang w:val="zh-CN" w:eastAsia="zh-CN" w:bidi="ar-SA"/>
              </w:rPr>
              <w:t>提供</w:t>
            </w:r>
            <w:r>
              <w:rPr>
                <w:rFonts w:hint="eastAsia" w:ascii="仿宋" w:hAnsi="仿宋" w:eastAsia="仿宋" w:cs="仿宋"/>
                <w:b w:val="0"/>
                <w:bCs w:val="0"/>
                <w:kern w:val="2"/>
                <w:sz w:val="21"/>
                <w:szCs w:val="21"/>
                <w:highlight w:val="none"/>
                <w:lang w:val="en-US" w:eastAsia="zh-CN" w:bidi="ar-SA"/>
              </w:rPr>
              <w:t>注册会计师执业</w:t>
            </w:r>
            <w:r>
              <w:rPr>
                <w:rFonts w:hint="eastAsia" w:ascii="仿宋" w:hAnsi="仿宋" w:eastAsia="仿宋" w:cs="仿宋"/>
                <w:b w:val="0"/>
                <w:bCs w:val="0"/>
                <w:kern w:val="2"/>
                <w:sz w:val="21"/>
                <w:szCs w:val="21"/>
                <w:highlight w:val="none"/>
                <w:lang w:val="zh-CN" w:eastAsia="zh-CN" w:bidi="ar-SA"/>
              </w:rPr>
              <w:t>证书</w:t>
            </w:r>
            <w:r>
              <w:rPr>
                <w:rFonts w:hint="eastAsia" w:ascii="仿宋" w:hAnsi="仿宋" w:eastAsia="仿宋" w:cs="仿宋"/>
                <w:b w:val="0"/>
                <w:bCs w:val="0"/>
                <w:kern w:val="2"/>
                <w:sz w:val="21"/>
                <w:szCs w:val="21"/>
                <w:highlight w:val="none"/>
                <w:lang w:val="en-US" w:eastAsia="zh-CN" w:bidi="ar-SA"/>
              </w:rPr>
              <w:t>和</w:t>
            </w:r>
            <w:r>
              <w:rPr>
                <w:rFonts w:hint="eastAsia" w:ascii="仿宋" w:hAnsi="仿宋" w:eastAsia="仿宋" w:cs="仿宋"/>
                <w:b w:val="0"/>
                <w:bCs w:val="0"/>
                <w:kern w:val="2"/>
                <w:sz w:val="21"/>
                <w:szCs w:val="21"/>
                <w:highlight w:val="none"/>
                <w:lang w:val="zh-CN" w:eastAsia="zh-CN" w:bidi="ar-SA"/>
              </w:rPr>
              <w:t>“中国注册会计师协会行业管理信息系统”中“注册会计师信息”查询结果（查询网址：</w:t>
            </w:r>
            <w:r>
              <w:rPr>
                <w:rFonts w:hint="eastAsia" w:ascii="仿宋" w:hAnsi="仿宋" w:eastAsia="仿宋" w:cs="仿宋"/>
                <w:b w:val="0"/>
                <w:bCs w:val="0"/>
                <w:kern w:val="2"/>
                <w:sz w:val="21"/>
                <w:szCs w:val="21"/>
                <w:highlight w:val="none"/>
                <w:lang w:val="zh-CN" w:eastAsia="zh-CN" w:bidi="ar-SA"/>
              </w:rPr>
              <w:fldChar w:fldCharType="begin"/>
            </w:r>
            <w:r>
              <w:rPr>
                <w:rFonts w:hint="eastAsia" w:ascii="仿宋" w:hAnsi="仿宋" w:eastAsia="仿宋" w:cs="仿宋"/>
                <w:b w:val="0"/>
                <w:bCs w:val="0"/>
                <w:kern w:val="2"/>
                <w:sz w:val="21"/>
                <w:szCs w:val="21"/>
                <w:highlight w:val="none"/>
                <w:lang w:val="zh-CN" w:eastAsia="zh-CN" w:bidi="ar-SA"/>
              </w:rPr>
              <w:instrText xml:space="preserve"> HYPERLINK "https://cmis.cicpa.org.cn/#/login），原件备查。" </w:instrText>
            </w:r>
            <w:r>
              <w:rPr>
                <w:rFonts w:hint="eastAsia" w:ascii="仿宋" w:hAnsi="仿宋" w:eastAsia="仿宋" w:cs="仿宋"/>
                <w:b w:val="0"/>
                <w:bCs w:val="0"/>
                <w:kern w:val="2"/>
                <w:sz w:val="21"/>
                <w:szCs w:val="21"/>
                <w:highlight w:val="none"/>
                <w:lang w:val="zh-CN" w:eastAsia="zh-CN" w:bidi="ar-SA"/>
              </w:rPr>
              <w:fldChar w:fldCharType="separate"/>
            </w:r>
            <w:r>
              <w:rPr>
                <w:rFonts w:hint="eastAsia" w:ascii="仿宋" w:hAnsi="仿宋" w:eastAsia="仿宋" w:cs="仿宋"/>
                <w:b w:val="0"/>
                <w:bCs w:val="0"/>
                <w:kern w:val="2"/>
                <w:sz w:val="21"/>
                <w:szCs w:val="21"/>
                <w:highlight w:val="none"/>
                <w:lang w:val="zh-CN" w:eastAsia="zh-CN" w:bidi="ar-SA"/>
              </w:rPr>
              <w:t>https://cmis.cicpa.org.cn/#/login）。</w:t>
            </w:r>
            <w:r>
              <w:rPr>
                <w:rFonts w:hint="eastAsia" w:ascii="仿宋" w:hAnsi="仿宋" w:eastAsia="仿宋" w:cs="仿宋"/>
                <w:b w:val="0"/>
                <w:bCs w:val="0"/>
                <w:kern w:val="2"/>
                <w:sz w:val="21"/>
                <w:szCs w:val="21"/>
                <w:highlight w:val="none"/>
                <w:lang w:val="zh-CN" w:eastAsia="zh-CN" w:bidi="ar-SA"/>
              </w:rPr>
              <w:fldChar w:fldCharType="end"/>
            </w:r>
          </w:p>
          <w:p>
            <w:pPr>
              <w:wordWrap w:val="0"/>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en-US" w:eastAsia="zh-CN" w:bidi="ar-SA"/>
              </w:rPr>
              <w:t>备注：</w:t>
            </w:r>
            <w:r>
              <w:rPr>
                <w:rFonts w:hint="eastAsia" w:ascii="仿宋" w:hAnsi="仿宋" w:eastAsia="仿宋" w:cs="仿宋"/>
                <w:b w:val="0"/>
                <w:bCs w:val="0"/>
                <w:kern w:val="2"/>
                <w:sz w:val="21"/>
                <w:szCs w:val="21"/>
                <w:highlight w:val="none"/>
                <w:lang w:val="zh-CN" w:eastAsia="zh-CN" w:bidi="ar-SA"/>
              </w:rPr>
              <w:t>关于注册会计师执业年限执业证明材料，如注册会计师执业证发证日期年限满足评分要求则提供注册会计师执业证即可；如注册会计师执业证因换新证原因发证日期变动则须同时提供由区级（含区级）以上行政主管或相关协会出具的相关年限证明文件。注册会计师执业年限以执业证发证时间计算（以6个月为标准四舍五入，即还差不到6个月满整年的，按整年计算；还差6个月（含）以上满整年的，按上一年计算）。</w:t>
            </w:r>
          </w:p>
          <w:p>
            <w:pPr>
              <w:wordWrap w:val="0"/>
              <w:rPr>
                <w:rFonts w:hint="eastAsia" w:ascii="宋体" w:hAnsi="宋体" w:eastAsia="宋体" w:cs="宋体"/>
                <w:sz w:val="24"/>
                <w:szCs w:val="24"/>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rPr>
              <w:t>提供近一个月投标人为其购买的社保证明材料，</w:t>
            </w:r>
            <w:r>
              <w:rPr>
                <w:rFonts w:hint="eastAsia" w:ascii="仿宋" w:hAnsi="仿宋" w:eastAsia="仿宋" w:cs="仿宋"/>
                <w:szCs w:val="21"/>
                <w:highlight w:val="none"/>
              </w:rPr>
              <w:t>（证明资料可为社保收缴部门盖章证明资料、社保窗口打印资料或社保官网截图）。如投标截止日上一个月的社保材料因社保部门原因暂时无法取得，则可以往前顺延一个月，</w:t>
            </w:r>
            <w:r>
              <w:rPr>
                <w:rFonts w:hint="eastAsia" w:ascii="仿宋" w:hAnsi="仿宋" w:eastAsia="仿宋" w:cs="仿宋"/>
                <w:szCs w:val="21"/>
                <w:highlight w:val="none"/>
                <w:lang w:val="zh-CN"/>
              </w:rPr>
              <w:t>如投标人注册成立时间不足一个月的，可提供承诺函（格式自拟）。</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以上证明材料原件备查，未按要求提供或提供不清晰导致专家无法判断的不得分。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1133" w:type="dxa"/>
            <w:gridSpan w:val="2"/>
            <w:vAlign w:val="center"/>
          </w:tcPr>
          <w:p>
            <w:pPr>
              <w:spacing w:after="60"/>
              <w:jc w:val="center"/>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检查小组长资历评价（项目负责人除外）</w:t>
            </w:r>
          </w:p>
        </w:tc>
        <w:tc>
          <w:tcPr>
            <w:tcW w:w="719" w:type="dxa"/>
            <w:gridSpan w:val="2"/>
            <w:vAlign w:val="center"/>
          </w:tcPr>
          <w:p>
            <w:pPr>
              <w:spacing w:after="60"/>
              <w:jc w:val="center"/>
              <w:rPr>
                <w:rFonts w:hint="default"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16</w:t>
            </w:r>
          </w:p>
        </w:tc>
        <w:tc>
          <w:tcPr>
            <w:tcW w:w="705" w:type="dxa"/>
            <w:vAlign w:val="center"/>
          </w:tcPr>
          <w:p>
            <w:pPr>
              <w:spacing w:after="60"/>
              <w:jc w:val="center"/>
              <w:rPr>
                <w:rFonts w:hint="eastAsia" w:ascii="仿宋" w:hAnsi="仿宋" w:eastAsia="仿宋" w:cs="仿宋"/>
                <w:bCs/>
                <w:highlight w:val="none"/>
              </w:rPr>
            </w:pPr>
            <w:r>
              <w:rPr>
                <w:rFonts w:hint="eastAsia" w:ascii="仿宋" w:hAnsi="仿宋" w:eastAsia="仿宋" w:cs="仿宋"/>
                <w:bCs/>
                <w:highlight w:val="none"/>
              </w:rPr>
              <w:t>专家打分</w:t>
            </w:r>
          </w:p>
        </w:tc>
        <w:tc>
          <w:tcPr>
            <w:tcW w:w="5935" w:type="dxa"/>
            <w:vAlign w:val="top"/>
          </w:tcPr>
          <w:p>
            <w:pPr>
              <w:rPr>
                <w:rFonts w:hint="eastAsia" w:ascii="仿宋" w:hAnsi="仿宋" w:eastAsia="仿宋" w:cs="仿宋"/>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一）评审内容</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拟安排检查</w:t>
            </w:r>
            <w:r>
              <w:rPr>
                <w:rFonts w:hint="eastAsia" w:ascii="仿宋" w:hAnsi="仿宋" w:eastAsia="仿宋" w:cs="仿宋"/>
                <w:szCs w:val="21"/>
                <w:highlight w:val="none"/>
                <w:lang w:val="zh-CN"/>
              </w:rPr>
              <w:t>小组长（仅限</w:t>
            </w:r>
            <w:r>
              <w:rPr>
                <w:rFonts w:hint="eastAsia" w:ascii="仿宋" w:hAnsi="仿宋" w:eastAsia="仿宋" w:cs="仿宋"/>
                <w:szCs w:val="21"/>
                <w:highlight w:val="none"/>
                <w:lang w:val="en-US" w:eastAsia="zh-CN"/>
              </w:rPr>
              <w:t>四</w:t>
            </w:r>
            <w:r>
              <w:rPr>
                <w:rFonts w:hint="eastAsia" w:ascii="仿宋" w:hAnsi="仿宋" w:eastAsia="仿宋" w:cs="仿宋"/>
                <w:szCs w:val="21"/>
                <w:highlight w:val="none"/>
                <w:lang w:val="zh-CN"/>
              </w:rPr>
              <w:t>人，</w:t>
            </w:r>
            <w:r>
              <w:rPr>
                <w:rFonts w:hint="eastAsia" w:ascii="仿宋" w:hAnsi="仿宋" w:eastAsia="仿宋" w:cs="仿宋"/>
                <w:szCs w:val="21"/>
                <w:highlight w:val="none"/>
                <w:lang w:val="en-US" w:eastAsia="zh-CN"/>
              </w:rPr>
              <w:t>退休返聘人员不得高于二人，</w:t>
            </w:r>
            <w:r>
              <w:rPr>
                <w:rFonts w:hint="eastAsia" w:ascii="仿宋" w:hAnsi="仿宋" w:eastAsia="仿宋" w:cs="仿宋"/>
                <w:szCs w:val="21"/>
                <w:highlight w:val="none"/>
                <w:lang w:val="zh-CN"/>
              </w:rPr>
              <w:t>项目负责人</w:t>
            </w:r>
            <w:r>
              <w:rPr>
                <w:rFonts w:hint="eastAsia" w:ascii="仿宋" w:hAnsi="仿宋" w:eastAsia="仿宋" w:cs="仿宋"/>
                <w:szCs w:val="21"/>
                <w:highlight w:val="none"/>
                <w:lang w:val="en-US" w:eastAsia="zh-CN"/>
              </w:rPr>
              <w:t>不得担任检查小组长</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为</w:t>
            </w:r>
            <w:r>
              <w:rPr>
                <w:rFonts w:hint="eastAsia" w:ascii="仿宋" w:hAnsi="仿宋" w:eastAsia="仿宋" w:cs="仿宋"/>
                <w:szCs w:val="21"/>
                <w:highlight w:val="none"/>
                <w:lang w:val="zh-CN"/>
              </w:rPr>
              <w:t>投标人自有员工（</w:t>
            </w:r>
            <w:r>
              <w:rPr>
                <w:rFonts w:hint="eastAsia" w:ascii="仿宋" w:hAnsi="仿宋" w:eastAsia="仿宋" w:cs="仿宋"/>
                <w:szCs w:val="21"/>
                <w:highlight w:val="none"/>
                <w:lang w:val="en-US" w:eastAsia="zh-CN"/>
              </w:rPr>
              <w:t>以</w:t>
            </w:r>
            <w:r>
              <w:rPr>
                <w:rFonts w:hint="eastAsia" w:ascii="仿宋" w:hAnsi="仿宋" w:eastAsia="仿宋" w:cs="仿宋"/>
                <w:szCs w:val="21"/>
                <w:highlight w:val="none"/>
                <w:lang w:val="zh-CN"/>
              </w:rPr>
              <w:t>社保</w:t>
            </w:r>
            <w:r>
              <w:rPr>
                <w:rFonts w:hint="eastAsia" w:ascii="仿宋" w:hAnsi="仿宋" w:eastAsia="仿宋" w:cs="仿宋"/>
                <w:szCs w:val="21"/>
                <w:highlight w:val="none"/>
                <w:lang w:val="en-US" w:eastAsia="zh-CN"/>
              </w:rPr>
              <w:t>为准</w:t>
            </w:r>
            <w:r>
              <w:rPr>
                <w:rFonts w:hint="eastAsia" w:ascii="仿宋" w:hAnsi="仿宋" w:eastAsia="仿宋" w:cs="仿宋"/>
                <w:szCs w:val="21"/>
                <w:highlight w:val="none"/>
                <w:lang w:val="zh-CN"/>
              </w:rPr>
              <w:t>），不满足此项要求的，本项不得分，在此基础上：</w:t>
            </w:r>
          </w:p>
          <w:p>
            <w:pPr>
              <w:wordWrap w:val="0"/>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val="zh-CN"/>
              </w:rPr>
              <w:t>每</w:t>
            </w:r>
            <w:r>
              <w:rPr>
                <w:rFonts w:hint="eastAsia" w:ascii="仿宋" w:hAnsi="仿宋" w:eastAsia="仿宋" w:cs="仿宋"/>
                <w:szCs w:val="21"/>
                <w:highlight w:val="none"/>
                <w:lang w:val="en-US" w:eastAsia="zh-CN"/>
              </w:rPr>
              <w:t>具有</w:t>
            </w:r>
            <w:r>
              <w:rPr>
                <w:rFonts w:hint="eastAsia" w:ascii="仿宋" w:hAnsi="仿宋" w:eastAsia="仿宋" w:cs="仿宋"/>
                <w:szCs w:val="21"/>
                <w:highlight w:val="none"/>
                <w:lang w:val="zh-CN"/>
              </w:rPr>
              <w:t>一名执业注册会计师</w:t>
            </w:r>
            <w:r>
              <w:rPr>
                <w:rFonts w:hint="eastAsia" w:ascii="仿宋" w:hAnsi="仿宋" w:eastAsia="仿宋" w:cs="仿宋"/>
                <w:szCs w:val="21"/>
                <w:highlight w:val="none"/>
                <w:lang w:val="en-US" w:eastAsia="zh-CN"/>
              </w:rPr>
              <w:t>或</w:t>
            </w:r>
            <w:r>
              <w:rPr>
                <w:rFonts w:hint="eastAsia" w:ascii="仿宋" w:hAnsi="仿宋" w:eastAsia="仿宋" w:cs="仿宋"/>
                <w:color w:val="auto"/>
                <w:szCs w:val="21"/>
                <w:highlight w:val="none"/>
                <w:lang w:val="en-US" w:eastAsia="zh-CN"/>
              </w:rPr>
              <w:t>中级</w:t>
            </w:r>
            <w:r>
              <w:rPr>
                <w:rFonts w:hint="eastAsia" w:ascii="仿宋" w:hAnsi="仿宋" w:eastAsia="仿宋" w:cs="仿宋"/>
                <w:color w:val="auto"/>
                <w:szCs w:val="21"/>
                <w:highlight w:val="none"/>
                <w:lang w:val="zh-CN"/>
              </w:rPr>
              <w:t>职称</w:t>
            </w:r>
            <w:r>
              <w:rPr>
                <w:rFonts w:hint="eastAsia" w:ascii="仿宋" w:hAnsi="仿宋" w:eastAsia="仿宋" w:cs="仿宋"/>
                <w:color w:val="auto"/>
                <w:szCs w:val="21"/>
                <w:highlight w:val="none"/>
                <w:lang w:val="en-US" w:eastAsia="zh-CN"/>
              </w:rPr>
              <w:t>审计</w:t>
            </w:r>
            <w:r>
              <w:rPr>
                <w:rFonts w:hint="eastAsia" w:ascii="仿宋" w:hAnsi="仿宋" w:eastAsia="仿宋" w:cs="仿宋"/>
                <w:color w:val="auto"/>
                <w:szCs w:val="21"/>
                <w:highlight w:val="none"/>
                <w:lang w:val="zh-CN"/>
              </w:rPr>
              <w:t>师</w:t>
            </w:r>
            <w:r>
              <w:rPr>
                <w:rFonts w:hint="eastAsia" w:ascii="仿宋" w:hAnsi="仿宋" w:eastAsia="仿宋" w:cs="仿宋"/>
                <w:color w:val="auto"/>
                <w:szCs w:val="21"/>
                <w:highlight w:val="none"/>
                <w:lang w:val="en-US" w:eastAsia="zh-CN"/>
              </w:rPr>
              <w:t>或会计师或以上职称</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根据其工作年限按以下标准得分</w:t>
            </w:r>
            <w:r>
              <w:rPr>
                <w:rFonts w:hint="eastAsia" w:ascii="仿宋" w:hAnsi="仿宋" w:eastAsia="仿宋" w:cs="仿宋"/>
                <w:szCs w:val="21"/>
                <w:highlight w:val="none"/>
                <w:lang w:val="zh-CN" w:eastAsia="zh-CN"/>
              </w:rPr>
              <w:t>：</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val="zh-CN"/>
              </w:rPr>
              <w:t>）</w:t>
            </w:r>
            <w:r>
              <w:rPr>
                <w:rFonts w:hint="eastAsia" w:ascii="仿宋" w:hAnsi="仿宋" w:eastAsia="仿宋" w:cs="仿宋"/>
                <w:color w:val="auto"/>
                <w:szCs w:val="21"/>
                <w:highlight w:val="none"/>
                <w:lang w:val="en-US" w:eastAsia="zh-CN"/>
              </w:rPr>
              <w:t>执业（工作）年限＜2年，不得分；</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val="zh-CN"/>
              </w:rPr>
              <w:t>）</w:t>
            </w:r>
            <w:r>
              <w:rPr>
                <w:rFonts w:hint="eastAsia" w:ascii="仿宋" w:hAnsi="仿宋" w:eastAsia="仿宋" w:cs="仿宋"/>
                <w:color w:val="auto"/>
                <w:szCs w:val="21"/>
                <w:highlight w:val="none"/>
                <w:lang w:val="en-US" w:eastAsia="zh-CN"/>
              </w:rPr>
              <w:t>2年</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执业（工作）</w:t>
            </w:r>
            <w:r>
              <w:rPr>
                <w:rFonts w:hint="eastAsia" w:ascii="仿宋" w:hAnsi="仿宋" w:eastAsia="仿宋" w:cs="仿宋"/>
                <w:color w:val="auto"/>
                <w:szCs w:val="21"/>
                <w:highlight w:val="none"/>
                <w:lang w:val="zh-CN"/>
              </w:rPr>
              <w:t>年限≤</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w:t>
            </w:r>
            <w:r>
              <w:rPr>
                <w:rFonts w:hint="eastAsia" w:ascii="仿宋" w:hAnsi="仿宋" w:eastAsia="仿宋" w:cs="仿宋"/>
                <w:szCs w:val="21"/>
                <w:highlight w:val="none"/>
                <w:lang w:val="en-US" w:eastAsia="zh-CN"/>
              </w:rPr>
              <w:t>，得2分；</w:t>
            </w:r>
          </w:p>
          <w:p>
            <w:pPr>
              <w:wordWrap w:val="0"/>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（3）执业（工作）</w:t>
            </w:r>
            <w:r>
              <w:rPr>
                <w:rFonts w:hint="eastAsia" w:ascii="仿宋" w:hAnsi="仿宋" w:eastAsia="仿宋" w:cs="仿宋"/>
                <w:szCs w:val="21"/>
                <w:highlight w:val="none"/>
                <w:lang w:val="zh-CN"/>
              </w:rPr>
              <w:t>年限</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年</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得</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val="zh-CN"/>
              </w:rPr>
              <w:t>分；</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同一人员具备两份证书的，只计算一项执业（工作）年限最长的证书得分。</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本项最高得16分。</w:t>
            </w:r>
          </w:p>
          <w:p>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（二）评分标准</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注册会计师执业</w:t>
            </w:r>
            <w:r>
              <w:rPr>
                <w:rFonts w:hint="eastAsia" w:ascii="仿宋" w:hAnsi="仿宋" w:eastAsia="仿宋" w:cs="仿宋"/>
                <w:szCs w:val="21"/>
                <w:highlight w:val="none"/>
              </w:rPr>
              <w:t>证书</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提供证书材料和</w:t>
            </w:r>
            <w:r>
              <w:rPr>
                <w:rFonts w:hint="eastAsia" w:ascii="仿宋" w:hAnsi="仿宋" w:eastAsia="仿宋" w:cs="仿宋"/>
                <w:szCs w:val="21"/>
                <w:highlight w:val="none"/>
              </w:rPr>
              <w:t>“中国注册会计师协会行业管理信息系统”中“注册会计师信息”查询结果（查询网址：</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"https://cmis.cicpa.org.cn/#/login），原件备查。"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https://cmis.cicpa.org.cn/#/login）。</w:t>
            </w:r>
            <w:r>
              <w:rPr>
                <w:rFonts w:hint="eastAsia" w:ascii="仿宋" w:hAnsi="仿宋" w:eastAsia="仿宋" w:cs="仿宋"/>
                <w:szCs w:val="21"/>
                <w:highlight w:val="none"/>
              </w:rPr>
              <w:fldChar w:fldCharType="end"/>
            </w:r>
          </w:p>
          <w:p>
            <w:pPr>
              <w:rPr>
                <w:rFonts w:hint="eastAsia" w:ascii="仿宋" w:hAnsi="仿宋" w:eastAsia="仿宋" w:cs="仿宋"/>
                <w:szCs w:val="21"/>
                <w:highlight w:val="none"/>
              </w:rPr>
            </w:pPr>
            <w:r>
              <w:rPr>
                <w:rFonts w:hint="eastAsia" w:ascii="仿宋" w:hAnsi="仿宋" w:eastAsia="仿宋" w:cs="仿宋"/>
                <w:szCs w:val="21"/>
                <w:highlight w:val="none"/>
              </w:rPr>
              <w:t>关于注册会计师执业年限执业证明材料，如注册会计师执业证发证日期年限满足评分要求则提供注册会计师执业证即可；如注册会计师执业证因换新证原因发证日期变动则须同时提供由区级（含区级）以上行政主管或相关协会出具的相关年限证明文件。</w:t>
            </w:r>
          </w:p>
          <w:p>
            <w:pPr>
              <w:rPr>
                <w:rFonts w:hint="eastAsia" w:ascii="仿宋" w:hAnsi="仿宋" w:eastAsia="仿宋" w:cs="仿宋"/>
                <w:szCs w:val="21"/>
                <w:highlight w:val="none"/>
                <w:lang w:eastAsia="zh-CN"/>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职称证书。</w:t>
            </w:r>
            <w:r>
              <w:rPr>
                <w:rFonts w:hint="eastAsia" w:ascii="仿宋" w:hAnsi="仿宋" w:eastAsia="仿宋" w:cs="仿宋"/>
                <w:szCs w:val="21"/>
                <w:highlight w:val="none"/>
              </w:rPr>
              <w:t>提供会计或审计类高级职称证书</w:t>
            </w:r>
            <w:r>
              <w:rPr>
                <w:rFonts w:hint="eastAsia" w:ascii="仿宋" w:hAnsi="仿宋" w:eastAsia="仿宋" w:cs="仿宋"/>
                <w:color w:val="000000"/>
                <w:szCs w:val="21"/>
                <w:highlight w:val="none"/>
                <w:lang w:val="en-US" w:eastAsia="zh-CN"/>
              </w:rPr>
              <w:t>复印</w:t>
            </w:r>
            <w:r>
              <w:rPr>
                <w:rFonts w:hint="eastAsia" w:ascii="仿宋" w:hAnsi="仿宋" w:eastAsia="仿宋" w:cs="仿宋"/>
                <w:color w:val="000000"/>
                <w:szCs w:val="21"/>
                <w:highlight w:val="none"/>
              </w:rPr>
              <w:t>件</w:t>
            </w:r>
            <w:r>
              <w:rPr>
                <w:rFonts w:hint="eastAsia" w:ascii="仿宋" w:hAnsi="仿宋" w:eastAsia="仿宋" w:cs="仿宋"/>
                <w:szCs w:val="21"/>
                <w:highlight w:val="none"/>
                <w:lang w:eastAsia="zh-CN"/>
              </w:rPr>
              <w:t>。</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提供近一个月投标人为其购买的社保证明材料，（证明资料可为社保收缴部门盖章证明资料、社保窗口打印资料或社保官网截图）。如投标截止日上一个月的社保材料因社保部门原因暂时无法取得，则可以往前顺延一个月，如投标人注册成立时间不足一个月的，可提供承诺函（格式自拟）。若为退休返聘人员，需提供说明函（格式自拟），无需提供相关人员社保，亦可得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以上证明材料原件备查，未按要求提供或提供不清晰导致专家无法判断的不得分。</w:t>
            </w:r>
          </w:p>
          <w:p>
            <w:pPr>
              <w:rPr>
                <w:rFonts w:hint="eastAsia" w:ascii="仿宋" w:hAnsi="仿宋" w:eastAsia="仿宋" w:cs="仿宋"/>
                <w:color w:val="000000"/>
                <w:szCs w:val="21"/>
                <w:highlight w:val="none"/>
              </w:rPr>
            </w:pPr>
            <w:r>
              <w:rPr>
                <w:rFonts w:hint="eastAsia" w:ascii="仿宋" w:hAnsi="仿宋" w:eastAsia="仿宋" w:cs="仿宋"/>
                <w:szCs w:val="21"/>
                <w:highlight w:val="none"/>
                <w:lang w:val="en-US" w:eastAsia="zh-CN"/>
              </w:rPr>
              <w:t>注：执业（工作）</w:t>
            </w:r>
            <w:r>
              <w:rPr>
                <w:rFonts w:hint="eastAsia" w:ascii="仿宋" w:hAnsi="仿宋" w:eastAsia="仿宋" w:cs="仿宋"/>
                <w:szCs w:val="21"/>
                <w:highlight w:val="none"/>
              </w:rPr>
              <w:t>年限以执业证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职称证</w:t>
            </w:r>
            <w:r>
              <w:rPr>
                <w:rFonts w:hint="eastAsia" w:ascii="仿宋" w:hAnsi="仿宋" w:eastAsia="仿宋" w:cs="仿宋"/>
                <w:szCs w:val="21"/>
                <w:highlight w:val="none"/>
                <w:lang w:eastAsia="zh-CN"/>
              </w:rPr>
              <w:t>）</w:t>
            </w:r>
            <w:r>
              <w:rPr>
                <w:rFonts w:hint="eastAsia" w:ascii="仿宋" w:hAnsi="仿宋" w:eastAsia="仿宋" w:cs="仿宋"/>
                <w:szCs w:val="21"/>
                <w:highlight w:val="none"/>
              </w:rPr>
              <w:t>发证时间计算（以6个月为标准四舍五入，即还差不到6个月满整年的，按整年计算；还差6个月（含）以上满整年的，按上一年计算）</w:t>
            </w:r>
            <w:r>
              <w:rPr>
                <w:rFonts w:hint="eastAsia" w:ascii="仿宋" w:hAnsi="仿宋" w:eastAsia="仿宋" w:cs="仿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Align w:val="top"/>
          </w:tcPr>
          <w:p>
            <w:pPr>
              <w:jc w:val="both"/>
              <w:rPr>
                <w:rFonts w:hint="eastAsia" w:ascii="仿宋" w:hAnsi="仿宋" w:eastAsia="仿宋" w:cs="仿宋"/>
                <w:szCs w:val="21"/>
                <w:highlight w:val="none"/>
              </w:rPr>
            </w:pPr>
          </w:p>
        </w:tc>
        <w:tc>
          <w:tcPr>
            <w:tcW w:w="681" w:type="dxa"/>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1133" w:type="dxa"/>
            <w:gridSpan w:val="2"/>
            <w:vAlign w:val="center"/>
          </w:tcPr>
          <w:p>
            <w:pPr>
              <w:spacing w:after="60"/>
              <w:jc w:val="center"/>
              <w:rPr>
                <w:rFonts w:hint="default" w:ascii="仿宋" w:hAnsi="仿宋" w:eastAsia="仿宋" w:cs="仿宋"/>
                <w:bCs/>
                <w:highlight w:val="none"/>
                <w:lang w:val="en-US" w:eastAsia="zh-CN"/>
              </w:rPr>
            </w:pPr>
            <w:r>
              <w:rPr>
                <w:rFonts w:hint="eastAsia" w:ascii="仿宋" w:hAnsi="仿宋" w:eastAsia="仿宋" w:cs="仿宋"/>
                <w:bCs/>
                <w:highlight w:val="none"/>
                <w:lang w:val="en-US" w:eastAsia="zh-CN"/>
              </w:rPr>
              <w:t>检查小组成员情况评价（项目负责人、检查小组长除外）</w:t>
            </w:r>
          </w:p>
        </w:tc>
        <w:tc>
          <w:tcPr>
            <w:tcW w:w="719" w:type="dxa"/>
            <w:gridSpan w:val="2"/>
            <w:vAlign w:val="center"/>
          </w:tcPr>
          <w:p>
            <w:pPr>
              <w:spacing w:after="60"/>
              <w:jc w:val="center"/>
              <w:rPr>
                <w:rFonts w:hint="default"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12</w:t>
            </w:r>
          </w:p>
        </w:tc>
        <w:tc>
          <w:tcPr>
            <w:tcW w:w="705" w:type="dxa"/>
            <w:vAlign w:val="center"/>
          </w:tcPr>
          <w:p>
            <w:pPr>
              <w:spacing w:after="60"/>
              <w:jc w:val="center"/>
              <w:rPr>
                <w:rFonts w:hint="eastAsia" w:ascii="仿宋" w:hAnsi="仿宋" w:eastAsia="仿宋" w:cs="仿宋"/>
                <w:bCs/>
                <w:highlight w:val="none"/>
              </w:rPr>
            </w:pPr>
          </w:p>
        </w:tc>
        <w:tc>
          <w:tcPr>
            <w:tcW w:w="5935" w:type="dxa"/>
            <w:vAlign w:val="top"/>
          </w:tcPr>
          <w:p>
            <w:pPr>
              <w:rPr>
                <w:rFonts w:hint="eastAsia" w:ascii="仿宋" w:hAnsi="仿宋" w:eastAsia="仿宋" w:cs="仿宋"/>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一）评审内容</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拟安排</w:t>
            </w:r>
            <w:r>
              <w:rPr>
                <w:rFonts w:hint="eastAsia" w:ascii="仿宋" w:hAnsi="仿宋" w:eastAsia="仿宋" w:cs="仿宋"/>
                <w:bCs/>
                <w:highlight w:val="none"/>
                <w:lang w:val="en-US" w:eastAsia="zh-CN"/>
              </w:rPr>
              <w:t>检查小组成员</w:t>
            </w:r>
            <w:r>
              <w:rPr>
                <w:rFonts w:hint="eastAsia" w:ascii="仿宋" w:hAnsi="仿宋" w:eastAsia="仿宋" w:cs="仿宋"/>
                <w:szCs w:val="21"/>
                <w:highlight w:val="none"/>
                <w:lang w:val="zh-CN"/>
              </w:rPr>
              <w:t>（</w:t>
            </w:r>
            <w:r>
              <w:rPr>
                <w:rFonts w:hint="eastAsia" w:ascii="仿宋" w:hAnsi="仿宋" w:eastAsia="仿宋" w:cs="仿宋"/>
                <w:bCs/>
                <w:highlight w:val="none"/>
                <w:lang w:val="en-US" w:eastAsia="zh-CN"/>
              </w:rPr>
              <w:t>项目负责人、检查小组长除外；</w:t>
            </w:r>
            <w:r>
              <w:rPr>
                <w:rFonts w:hint="eastAsia" w:ascii="仿宋" w:hAnsi="仿宋" w:eastAsia="仿宋" w:cs="仿宋"/>
                <w:szCs w:val="21"/>
                <w:highlight w:val="none"/>
                <w:lang w:val="en-US" w:eastAsia="zh-CN"/>
              </w:rPr>
              <w:t>退休返聘人员不得高于二人</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为</w:t>
            </w:r>
            <w:r>
              <w:rPr>
                <w:rFonts w:hint="eastAsia" w:ascii="仿宋" w:hAnsi="仿宋" w:eastAsia="仿宋" w:cs="仿宋"/>
                <w:szCs w:val="21"/>
                <w:highlight w:val="none"/>
                <w:lang w:val="zh-CN"/>
              </w:rPr>
              <w:t>投标人自有员工（</w:t>
            </w:r>
            <w:r>
              <w:rPr>
                <w:rFonts w:hint="eastAsia" w:ascii="仿宋" w:hAnsi="仿宋" w:eastAsia="仿宋" w:cs="仿宋"/>
                <w:szCs w:val="21"/>
                <w:highlight w:val="none"/>
                <w:lang w:val="en-US" w:eastAsia="zh-CN"/>
              </w:rPr>
              <w:t>以</w:t>
            </w:r>
            <w:r>
              <w:rPr>
                <w:rFonts w:hint="eastAsia" w:ascii="仿宋" w:hAnsi="仿宋" w:eastAsia="仿宋" w:cs="仿宋"/>
                <w:szCs w:val="21"/>
                <w:highlight w:val="none"/>
                <w:lang w:val="zh-CN"/>
              </w:rPr>
              <w:t>社保</w:t>
            </w:r>
            <w:r>
              <w:rPr>
                <w:rFonts w:hint="eastAsia" w:ascii="仿宋" w:hAnsi="仿宋" w:eastAsia="仿宋" w:cs="仿宋"/>
                <w:szCs w:val="21"/>
                <w:highlight w:val="none"/>
                <w:lang w:val="en-US" w:eastAsia="zh-CN"/>
              </w:rPr>
              <w:t>为准</w:t>
            </w:r>
            <w:r>
              <w:rPr>
                <w:rFonts w:hint="eastAsia" w:ascii="仿宋" w:hAnsi="仿宋" w:eastAsia="仿宋" w:cs="仿宋"/>
                <w:szCs w:val="21"/>
                <w:highlight w:val="none"/>
                <w:lang w:val="zh-CN"/>
              </w:rPr>
              <w:t>），不满足此项要求的，本项不得分，在此基础上：</w:t>
            </w:r>
          </w:p>
          <w:p>
            <w:pPr>
              <w:numPr>
                <w:ilvl w:val="0"/>
                <w:numId w:val="3"/>
              </w:numPr>
              <w:wordWrap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每</w:t>
            </w:r>
            <w:r>
              <w:rPr>
                <w:rFonts w:hint="eastAsia" w:ascii="仿宋" w:hAnsi="仿宋" w:eastAsia="仿宋" w:cs="仿宋"/>
                <w:color w:val="auto"/>
                <w:szCs w:val="21"/>
                <w:highlight w:val="none"/>
                <w:lang w:val="en-US" w:eastAsia="zh-CN"/>
              </w:rPr>
              <w:t>具有</w:t>
            </w:r>
            <w:r>
              <w:rPr>
                <w:rFonts w:hint="eastAsia" w:ascii="仿宋" w:hAnsi="仿宋" w:eastAsia="仿宋" w:cs="仿宋"/>
                <w:color w:val="auto"/>
                <w:szCs w:val="21"/>
                <w:highlight w:val="none"/>
                <w:lang w:val="zh-CN"/>
              </w:rPr>
              <w:t>一名</w:t>
            </w:r>
            <w:r>
              <w:rPr>
                <w:rFonts w:hint="eastAsia" w:ascii="仿宋" w:hAnsi="仿宋" w:eastAsia="仿宋" w:cs="仿宋"/>
                <w:color w:val="auto"/>
                <w:szCs w:val="21"/>
                <w:highlight w:val="none"/>
                <w:lang w:val="en-US" w:eastAsia="zh-CN"/>
              </w:rPr>
              <w:t>初级</w:t>
            </w:r>
            <w:r>
              <w:rPr>
                <w:rFonts w:hint="eastAsia" w:ascii="仿宋" w:hAnsi="仿宋" w:eastAsia="仿宋" w:cs="仿宋"/>
                <w:color w:val="auto"/>
                <w:szCs w:val="21"/>
                <w:highlight w:val="none"/>
                <w:lang w:val="zh-CN"/>
              </w:rPr>
              <w:t>职称</w:t>
            </w:r>
            <w:r>
              <w:rPr>
                <w:rFonts w:hint="eastAsia" w:ascii="仿宋" w:hAnsi="仿宋" w:eastAsia="仿宋" w:cs="仿宋"/>
                <w:color w:val="auto"/>
                <w:szCs w:val="21"/>
                <w:highlight w:val="none"/>
                <w:lang w:val="en-US" w:eastAsia="zh-CN"/>
              </w:rPr>
              <w:t>审计</w:t>
            </w:r>
            <w:r>
              <w:rPr>
                <w:rFonts w:hint="eastAsia" w:ascii="仿宋" w:hAnsi="仿宋" w:eastAsia="仿宋" w:cs="仿宋"/>
                <w:color w:val="auto"/>
                <w:szCs w:val="21"/>
                <w:highlight w:val="none"/>
                <w:lang w:val="zh-CN"/>
              </w:rPr>
              <w:t>师</w:t>
            </w:r>
            <w:r>
              <w:rPr>
                <w:rFonts w:hint="eastAsia" w:ascii="仿宋" w:hAnsi="仿宋" w:eastAsia="仿宋" w:cs="仿宋"/>
                <w:color w:val="auto"/>
                <w:szCs w:val="21"/>
                <w:highlight w:val="none"/>
                <w:lang w:val="en-US" w:eastAsia="zh-CN"/>
              </w:rPr>
              <w:t>或会计师或以上职称或注册会计师，</w:t>
            </w:r>
            <w:r>
              <w:rPr>
                <w:rFonts w:hint="eastAsia" w:ascii="仿宋" w:hAnsi="仿宋" w:eastAsia="仿宋" w:cs="仿宋"/>
                <w:szCs w:val="21"/>
                <w:highlight w:val="none"/>
                <w:lang w:val="en-US" w:eastAsia="zh-CN"/>
              </w:rPr>
              <w:t>根据其工作年限按以下标准得分</w:t>
            </w:r>
            <w:r>
              <w:rPr>
                <w:rFonts w:hint="eastAsia" w:ascii="仿宋" w:hAnsi="仿宋" w:eastAsia="仿宋" w:cs="仿宋"/>
                <w:szCs w:val="21"/>
                <w:highlight w:val="none"/>
                <w:lang w:val="zh-CN" w:eastAsia="zh-CN"/>
              </w:rPr>
              <w:t>：</w:t>
            </w:r>
          </w:p>
          <w:p>
            <w:pPr>
              <w:wordWrap w:val="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执业（工作）年限＜2年，不得分；</w:t>
            </w:r>
          </w:p>
          <w:p>
            <w:pPr>
              <w:wordWrap w:val="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（2）2年</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执业（工作）</w:t>
            </w:r>
            <w:r>
              <w:rPr>
                <w:rFonts w:hint="eastAsia" w:ascii="仿宋" w:hAnsi="仿宋" w:eastAsia="仿宋" w:cs="仿宋"/>
                <w:color w:val="auto"/>
                <w:szCs w:val="21"/>
                <w:highlight w:val="none"/>
                <w:lang w:val="zh-CN"/>
              </w:rPr>
              <w:t>年限≤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val="zh-CN"/>
              </w:rPr>
              <w:t>分；</w:t>
            </w:r>
          </w:p>
          <w:p>
            <w:pPr>
              <w:wordWrap w:val="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（3）执业（工作）</w:t>
            </w:r>
            <w:r>
              <w:rPr>
                <w:rFonts w:hint="eastAsia" w:ascii="仿宋" w:hAnsi="仿宋" w:eastAsia="仿宋" w:cs="仿宋"/>
                <w:color w:val="auto"/>
                <w:szCs w:val="21"/>
                <w:highlight w:val="none"/>
                <w:lang w:val="zh-CN"/>
              </w:rPr>
              <w:t>年限＞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分；</w:t>
            </w:r>
          </w:p>
          <w:p>
            <w:pPr>
              <w:wordWrap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同一人员具备两份证书的，只计算一项执业（工作）年限最长的证书得分。</w:t>
            </w:r>
          </w:p>
          <w:p>
            <w:pPr>
              <w:wordWrap w:val="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本项最高得12分。</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上述小组成员中同一人员具备两份证书的，</w:t>
            </w:r>
            <w:r>
              <w:rPr>
                <w:rFonts w:hint="eastAsia" w:ascii="仿宋" w:hAnsi="仿宋" w:eastAsia="仿宋" w:cs="仿宋"/>
                <w:color w:val="000000"/>
                <w:szCs w:val="21"/>
                <w:highlight w:val="none"/>
                <w:lang w:val="en-US" w:eastAsia="zh-CN"/>
              </w:rPr>
              <w:t>不</w:t>
            </w:r>
            <w:r>
              <w:rPr>
                <w:rFonts w:hint="eastAsia" w:ascii="仿宋" w:hAnsi="仿宋" w:eastAsia="仿宋" w:cs="仿宋"/>
                <w:color w:val="000000"/>
                <w:szCs w:val="21"/>
                <w:highlight w:val="none"/>
              </w:rPr>
              <w:t>可重复计分</w:t>
            </w:r>
            <w:r>
              <w:rPr>
                <w:rFonts w:hint="eastAsia" w:ascii="仿宋" w:hAnsi="仿宋" w:eastAsia="仿宋" w:cs="仿宋"/>
                <w:szCs w:val="21"/>
                <w:highlight w:val="none"/>
                <w:lang w:val="en-US" w:eastAsia="zh-CN"/>
              </w:rPr>
              <w:t>。</w:t>
            </w:r>
          </w:p>
          <w:p>
            <w:pPr>
              <w:rPr>
                <w:rFonts w:hint="eastAsia" w:ascii="仿宋" w:hAnsi="仿宋" w:eastAsia="仿宋" w:cs="仿宋"/>
                <w:szCs w:val="21"/>
                <w:highlight w:val="none"/>
              </w:rPr>
            </w:pPr>
            <w:r>
              <w:rPr>
                <w:rFonts w:hint="eastAsia" w:ascii="仿宋" w:hAnsi="仿宋" w:eastAsia="仿宋" w:cs="仿宋"/>
                <w:b/>
                <w:bCs/>
                <w:color w:val="000000"/>
                <w:szCs w:val="21"/>
                <w:highlight w:val="none"/>
                <w:lang w:val="en-US" w:eastAsia="zh-CN"/>
              </w:rPr>
              <w:t>（二）评分标准</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注册会计师执业</w:t>
            </w:r>
            <w:r>
              <w:rPr>
                <w:rFonts w:hint="eastAsia" w:ascii="仿宋" w:hAnsi="仿宋" w:eastAsia="仿宋" w:cs="仿宋"/>
                <w:szCs w:val="21"/>
                <w:highlight w:val="none"/>
              </w:rPr>
              <w:t>证书</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提供证书材料和</w:t>
            </w:r>
            <w:r>
              <w:rPr>
                <w:rFonts w:hint="eastAsia" w:ascii="仿宋" w:hAnsi="仿宋" w:eastAsia="仿宋" w:cs="仿宋"/>
                <w:szCs w:val="21"/>
                <w:highlight w:val="none"/>
              </w:rPr>
              <w:t>“中国注册会计师协会行业管理信息系统”中“注册会计师信息”查询结果（查询网址：</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"https://cmis.cicpa.org.cn/#/login），原件备查。"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https://cmis.cicpa.org.cn/#/login）。</w:t>
            </w:r>
            <w:r>
              <w:rPr>
                <w:rFonts w:hint="eastAsia" w:ascii="仿宋" w:hAnsi="仿宋" w:eastAsia="仿宋" w:cs="仿宋"/>
                <w:szCs w:val="21"/>
                <w:highlight w:val="none"/>
              </w:rPr>
              <w:fldChar w:fldCharType="end"/>
            </w:r>
          </w:p>
          <w:p>
            <w:pPr>
              <w:rPr>
                <w:rFonts w:hint="eastAsia" w:ascii="仿宋" w:hAnsi="仿宋" w:eastAsia="仿宋" w:cs="仿宋"/>
                <w:szCs w:val="21"/>
                <w:highlight w:val="none"/>
              </w:rPr>
            </w:pPr>
            <w:r>
              <w:rPr>
                <w:rFonts w:hint="eastAsia" w:ascii="仿宋" w:hAnsi="仿宋" w:eastAsia="仿宋" w:cs="仿宋"/>
                <w:szCs w:val="21"/>
                <w:highlight w:val="none"/>
              </w:rPr>
              <w:t>关于注册会计师执业年限执业证明材料，如注册会计师执业证发证日期年限满足评分要求则提供注册会计师执业证即可；如注册会计师执业证因换新证原因发证日期变动则须同时提供由区级（含区级）以上行政主管或相关协会出具的相关年限证明文件。</w:t>
            </w:r>
          </w:p>
          <w:p>
            <w:pP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职称证书。</w:t>
            </w:r>
            <w:r>
              <w:rPr>
                <w:rFonts w:hint="eastAsia" w:ascii="仿宋" w:hAnsi="仿宋" w:eastAsia="仿宋" w:cs="仿宋"/>
                <w:szCs w:val="21"/>
                <w:highlight w:val="none"/>
              </w:rPr>
              <w:t>提供会计或审计类</w:t>
            </w:r>
            <w:r>
              <w:rPr>
                <w:rFonts w:hint="eastAsia" w:ascii="仿宋" w:hAnsi="仿宋" w:eastAsia="仿宋" w:cs="仿宋"/>
                <w:szCs w:val="21"/>
                <w:highlight w:val="none"/>
                <w:lang w:val="en-US" w:eastAsia="zh-CN"/>
              </w:rPr>
              <w:t>中级或以上职称</w:t>
            </w:r>
            <w:r>
              <w:rPr>
                <w:rFonts w:hint="eastAsia" w:ascii="仿宋" w:hAnsi="仿宋" w:eastAsia="仿宋" w:cs="仿宋"/>
                <w:szCs w:val="21"/>
                <w:highlight w:val="none"/>
              </w:rPr>
              <w:t>证书</w:t>
            </w:r>
            <w:r>
              <w:rPr>
                <w:rFonts w:hint="eastAsia" w:ascii="仿宋" w:hAnsi="仿宋" w:eastAsia="仿宋" w:cs="仿宋"/>
                <w:color w:val="000000"/>
                <w:szCs w:val="21"/>
                <w:highlight w:val="none"/>
                <w:lang w:val="en-US" w:eastAsia="zh-CN"/>
              </w:rPr>
              <w:t>复印</w:t>
            </w:r>
            <w:r>
              <w:rPr>
                <w:rFonts w:hint="eastAsia" w:ascii="仿宋" w:hAnsi="仿宋" w:eastAsia="仿宋" w:cs="仿宋"/>
                <w:color w:val="000000"/>
                <w:szCs w:val="21"/>
                <w:highlight w:val="none"/>
              </w:rPr>
              <w:t>件</w:t>
            </w:r>
            <w:r>
              <w:rPr>
                <w:rFonts w:hint="eastAsia" w:ascii="仿宋" w:hAnsi="仿宋" w:eastAsia="仿宋" w:cs="仿宋"/>
                <w:szCs w:val="21"/>
                <w:highlight w:val="none"/>
                <w:lang w:eastAsia="zh-CN"/>
              </w:rPr>
              <w:t>。</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提供近一个月投标人为其购买的社保证明材料，（证明资料可为社保收缴部门盖章证明资料、社保窗口打印资料或社保官网截图）。如投标截止日上一个月的社保材料因社保部门原因暂时无法取得，则可以往前顺延一个月，如投标人注册成立时间不足一个月的，可提供承诺函（格式自拟）。若为退休返聘人员，需提供说明函（格式自拟），无需提供相关人员社保，亦可得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以上证明材料原件备查，未按要求提供或提供不清晰导致专家无法判断的不得分。</w:t>
            </w:r>
          </w:p>
          <w:p>
            <w:pPr>
              <w:pStyle w:val="2"/>
              <w:rPr>
                <w:rFonts w:hint="eastAsia"/>
                <w:highlight w:val="none"/>
                <w:lang w:val="en-US" w:eastAsia="zh-CN"/>
              </w:rPr>
            </w:pPr>
            <w:r>
              <w:rPr>
                <w:rFonts w:hint="eastAsia" w:ascii="仿宋" w:hAnsi="仿宋" w:eastAsia="仿宋" w:cs="仿宋"/>
                <w:color w:val="auto"/>
                <w:kern w:val="2"/>
                <w:sz w:val="21"/>
                <w:szCs w:val="21"/>
                <w:highlight w:val="none"/>
                <w:lang w:val="en-US" w:eastAsia="zh-CN"/>
              </w:rPr>
              <w:t>注：执业（工作）</w:t>
            </w:r>
            <w:r>
              <w:rPr>
                <w:rFonts w:hint="eastAsia" w:ascii="仿宋" w:hAnsi="仿宋" w:eastAsia="仿宋" w:cs="仿宋"/>
                <w:color w:val="auto"/>
                <w:kern w:val="2"/>
                <w:sz w:val="21"/>
                <w:szCs w:val="21"/>
                <w:highlight w:val="none"/>
              </w:rPr>
              <w:t>年限以执业证</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职称证</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发证时间计算（以6个月为标准四舍五入，即还差不到6个月满整年的，按整年计算；还差6个月（含）以上满整年的，按上一年计算）</w:t>
            </w:r>
            <w:r>
              <w:rPr>
                <w:rFonts w:hint="eastAsia" w:ascii="仿宋" w:hAnsi="仿宋" w:eastAsia="仿宋" w:cs="仿宋"/>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（三）</w:t>
            </w:r>
          </w:p>
        </w:tc>
        <w:tc>
          <w:tcPr>
            <w:tcW w:w="3238" w:type="dxa"/>
            <w:gridSpan w:val="6"/>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综合实力部分</w:t>
            </w:r>
          </w:p>
        </w:tc>
        <w:tc>
          <w:tcPr>
            <w:tcW w:w="5935" w:type="dxa"/>
            <w:vAlign w:val="center"/>
          </w:tcPr>
          <w:p>
            <w:pPr>
              <w:jc w:val="center"/>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09" w:type="dxa"/>
            <w:vMerge w:val="restart"/>
            <w:vAlign w:val="top"/>
          </w:tcPr>
          <w:p>
            <w:pPr>
              <w:jc w:val="both"/>
              <w:rPr>
                <w:rFonts w:hint="eastAsia" w:ascii="仿宋" w:hAnsi="仿宋" w:eastAsia="仿宋" w:cs="仿宋"/>
                <w:szCs w:val="21"/>
                <w:highlight w:val="none"/>
              </w:rPr>
            </w:pPr>
          </w:p>
        </w:tc>
        <w:tc>
          <w:tcPr>
            <w:tcW w:w="681"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108"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737" w:type="dxa"/>
            <w:gridSpan w:val="2"/>
            <w:vAlign w:val="center"/>
          </w:tcPr>
          <w:p>
            <w:pPr>
              <w:jc w:val="both"/>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分值</w:t>
            </w:r>
          </w:p>
        </w:tc>
        <w:tc>
          <w:tcPr>
            <w:tcW w:w="712" w:type="dxa"/>
            <w:gridSpan w:val="2"/>
            <w:vAlign w:val="top"/>
          </w:tcPr>
          <w:p>
            <w:pPr>
              <w:jc w:val="both"/>
              <w:rPr>
                <w:rFonts w:hint="eastAsia" w:ascii="仿宋" w:hAnsi="仿宋" w:eastAsia="仿宋" w:cs="仿宋"/>
                <w:szCs w:val="21"/>
                <w:highlight w:val="none"/>
              </w:rPr>
            </w:pPr>
            <w:r>
              <w:rPr>
                <w:rFonts w:hint="eastAsia" w:ascii="仿宋" w:hAnsi="仿宋" w:eastAsia="仿宋" w:cs="仿宋"/>
                <w:szCs w:val="21"/>
                <w:highlight w:val="none"/>
              </w:rPr>
              <w:t>评分方式</w:t>
            </w:r>
          </w:p>
        </w:tc>
        <w:tc>
          <w:tcPr>
            <w:tcW w:w="5935"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108" w:type="dxa"/>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开展</w:t>
            </w:r>
            <w:r>
              <w:rPr>
                <w:rFonts w:hint="eastAsia" w:ascii="仿宋" w:hAnsi="仿宋" w:eastAsia="仿宋" w:cs="仿宋"/>
                <w:szCs w:val="21"/>
                <w:highlight w:val="none"/>
              </w:rPr>
              <w:t>同类项目业绩</w:t>
            </w:r>
          </w:p>
        </w:tc>
        <w:tc>
          <w:tcPr>
            <w:tcW w:w="737" w:type="dxa"/>
            <w:gridSpan w:val="2"/>
            <w:vAlign w:val="center"/>
          </w:tcPr>
          <w:p>
            <w:pPr>
              <w:wordWrap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712" w:type="dxa"/>
            <w:gridSpan w:val="2"/>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年1月1日至本项目投标截止日，以合同签订日期为准： </w:t>
            </w:r>
          </w:p>
          <w:p>
            <w:pPr>
              <w:rPr>
                <w:rFonts w:hint="eastAsia" w:ascii="仿宋" w:hAnsi="仿宋" w:eastAsia="仿宋" w:cs="仿宋"/>
                <w:szCs w:val="21"/>
                <w:highlight w:val="none"/>
              </w:rPr>
            </w:pPr>
            <w:r>
              <w:rPr>
                <w:rFonts w:hint="eastAsia" w:ascii="仿宋" w:hAnsi="仿宋" w:eastAsia="仿宋" w:cs="仿宋"/>
                <w:szCs w:val="21"/>
                <w:highlight w:val="none"/>
              </w:rPr>
              <w:t>每提供一项</w:t>
            </w:r>
            <w:r>
              <w:rPr>
                <w:rFonts w:hint="eastAsia" w:ascii="仿宋" w:hAnsi="仿宋" w:eastAsia="仿宋" w:cs="仿宋"/>
                <w:szCs w:val="21"/>
                <w:highlight w:val="none"/>
                <w:lang w:val="en-US" w:eastAsia="zh-CN"/>
              </w:rPr>
              <w:t>行政事业单位关于对民办学校（幼儿园）进行的内控管理检查、专项审计或财务监管的</w:t>
            </w:r>
            <w:r>
              <w:rPr>
                <w:rFonts w:hint="eastAsia" w:ascii="仿宋" w:hAnsi="仿宋" w:eastAsia="仿宋" w:cs="仿宋"/>
                <w:szCs w:val="21"/>
                <w:highlight w:val="none"/>
              </w:rPr>
              <w:t>同类项目，且经采购单位或被服务单位总体履约评价结果为“优”或“满意”或“合格”的得</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分，本项累计最高得</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分。</w:t>
            </w:r>
          </w:p>
          <w:p>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 xml:space="preserve">（二）评分标准 </w:t>
            </w:r>
          </w:p>
          <w:p>
            <w:pPr>
              <w:rPr>
                <w:rFonts w:hint="eastAsia" w:ascii="仿宋" w:hAnsi="仿宋" w:eastAsia="仿宋" w:cs="仿宋"/>
                <w:szCs w:val="21"/>
                <w:highlight w:val="none"/>
              </w:rPr>
            </w:pPr>
            <w:r>
              <w:rPr>
                <w:rFonts w:hint="eastAsia" w:ascii="仿宋" w:hAnsi="仿宋" w:eastAsia="仿宋" w:cs="仿宋"/>
                <w:szCs w:val="21"/>
                <w:highlight w:val="none"/>
              </w:rPr>
              <w:t>投标人提供的每项业绩须按以下要求提供完整准确的证明文件，如未按以下要求提供完整证明文件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即4项证明文件必须提供，缺一不可）</w:t>
            </w:r>
            <w:r>
              <w:rPr>
                <w:rFonts w:hint="eastAsia" w:ascii="仿宋" w:hAnsi="仿宋" w:eastAsia="仿宋" w:cs="仿宋"/>
                <w:szCs w:val="21"/>
                <w:highlight w:val="none"/>
              </w:rPr>
              <w:t xml:space="preserve">的业绩不计分，一年一签的长期服务续签合同只计算一个业绩： </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中标通知书；</w:t>
            </w:r>
          </w:p>
          <w:p>
            <w:pPr>
              <w:wordWrap w:val="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合同关键页（关键信息包括但不仅限于合同的项目名称、服务内容、签订日期等）； </w:t>
            </w:r>
          </w:p>
          <w:p>
            <w:pPr>
              <w:wordWrap w:val="0"/>
              <w:jc w:val="both"/>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采购单位或被服务单位总体履约评价为“优”或“满意”或“合格”的相关证明文件，加盖合同甲方公章（或业务章）。证明文件的内容必须包括但不仅限于合同的项目名称、总体履约评价结果、出具证明的签署日期等相关内容,如提交的证明材料其评价结果没有结论而仅是打分的（比如打100分、98分、95分、85分等的）不计分，通过上述资料无法判断是否得分的，也可以同时提供能证明得分的其它资料，如项目报告或采购单位（或被服务单位）出具的证明文件等</w:t>
            </w:r>
            <w:r>
              <w:rPr>
                <w:rFonts w:hint="eastAsia" w:ascii="仿宋" w:hAnsi="仿宋" w:eastAsia="仿宋" w:cs="仿宋"/>
                <w:szCs w:val="21"/>
                <w:highlight w:val="none"/>
                <w:lang w:eastAsia="zh-CN"/>
              </w:rPr>
              <w:t>；</w:t>
            </w:r>
          </w:p>
          <w:p>
            <w:pPr>
              <w:pStyle w:val="2"/>
              <w:rPr>
                <w:rFonts w:hint="eastAsia" w:eastAsia="仿宋"/>
                <w:highlight w:val="none"/>
                <w:lang w:val="en-US" w:eastAsia="zh-CN"/>
              </w:rPr>
            </w:pPr>
            <w:r>
              <w:rPr>
                <w:rFonts w:hint="eastAsia" w:ascii="仿宋" w:hAnsi="仿宋" w:eastAsia="仿宋" w:cs="仿宋"/>
                <w:szCs w:val="21"/>
                <w:highlight w:val="none"/>
                <w:lang w:val="en-US" w:eastAsia="zh-CN"/>
              </w:rPr>
              <w:t>4、</w:t>
            </w:r>
            <w:r>
              <w:rPr>
                <w:rFonts w:hint="eastAsia" w:ascii="仿宋" w:hAnsi="仿宋" w:eastAsia="仿宋" w:cs="仿宋"/>
                <w:bCs w:val="0"/>
                <w:color w:val="auto"/>
                <w:kern w:val="2"/>
                <w:sz w:val="21"/>
                <w:szCs w:val="21"/>
                <w:highlight w:val="none"/>
                <w:lang w:val="en-US" w:eastAsia="zh-CN"/>
              </w:rPr>
              <w:t>发票复印件（每项合同提供发票一张，发票购买方及销售方须与合同甲乙双方名称一致，且开票日期须在该合同起始之日至本项目招标公告发布之日止，发票其他内容不作评审要求）</w:t>
            </w:r>
            <w:r>
              <w:rPr>
                <w:rFonts w:hint="eastAsia" w:ascii="仿宋" w:hAnsi="仿宋" w:eastAsia="仿宋" w:cs="仿宋"/>
                <w:color w:val="auto"/>
                <w:szCs w:val="21"/>
                <w:highlight w:val="none"/>
                <w:lang w:eastAsia="zh-CN"/>
              </w:rPr>
              <w:t>。</w:t>
            </w:r>
          </w:p>
          <w:p>
            <w:pPr>
              <w:numPr>
                <w:ilvl w:val="-1"/>
                <w:numId w:val="0"/>
              </w:numPr>
              <w:wordWrap w:val="0"/>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以上证明材料原件备查，未按要求提供或提供不清晰导致专家无法判断的不得分。</w:t>
            </w:r>
          </w:p>
          <w:p>
            <w:pPr>
              <w:pStyle w:val="2"/>
              <w:numPr>
                <w:ilvl w:val="-1"/>
                <w:numId w:val="0"/>
              </w:numPr>
              <w:rPr>
                <w:rFonts w:hint="default"/>
                <w:highlight w:val="no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12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本次对81所民办学校进行</w:t>
      </w:r>
      <w:r>
        <w:rPr>
          <w:rFonts w:hint="eastAsia" w:ascii="仿宋_GB2312" w:hAnsi="仿宋_GB2312" w:eastAsia="仿宋_GB2312" w:cs="仿宋_GB2312"/>
          <w:b w:val="0"/>
          <w:bCs w:val="0"/>
          <w:sz w:val="32"/>
          <w:szCs w:val="32"/>
          <w:highlight w:val="none"/>
          <w:lang w:val="en-US" w:eastAsia="zh-CN"/>
        </w:rPr>
        <w:t>内控管理检查及培训</w:t>
      </w:r>
      <w:r>
        <w:rPr>
          <w:rFonts w:hint="eastAsia" w:ascii="仿宋_GB2312" w:hAnsi="仿宋_GB2312" w:eastAsia="仿宋_GB2312" w:cs="仿宋_GB2312"/>
          <w:sz w:val="32"/>
          <w:szCs w:val="32"/>
          <w:highlight w:val="none"/>
          <w:lang w:val="en-US" w:eastAsia="zh-CN"/>
        </w:rPr>
        <w:t>，具体名单如下：</w:t>
      </w:r>
    </w:p>
    <w:tbl>
      <w:tblPr>
        <w:tblStyle w:val="1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3499"/>
        <w:gridCol w:w="1979"/>
        <w:gridCol w:w="2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5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205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学校名称</w:t>
            </w:r>
          </w:p>
        </w:tc>
        <w:tc>
          <w:tcPr>
            <w:tcW w:w="116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检查期间</w:t>
            </w:r>
          </w:p>
        </w:tc>
        <w:tc>
          <w:tcPr>
            <w:tcW w:w="12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深圳市龙岗区东升学校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深圳市龙岗区龙岭初级中学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深圳市龙岗区爱义学校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深圳市龙岗区智民实验学校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深圳市龙岗区科城实验学校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深圳市龙岗区木棉湾实验学校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深圳市承翰学校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深圳市龙岗区百合外国语学校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深圳市龙岗区启元学校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深圳市龙岗区东方半岛小学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深圳市龙岗区中兴小学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深圳市龙岗区百外春蕾小学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深圳市龙岗区百外世纪小学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深圳市龙岗区时代学校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深圳市龙岗区三联储运学校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深圳市龙岗区华龙学校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深圳市龙岗区丽湖学校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深圳市龙岗区翠枫学校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深圳市龙岗区吉华爱爱学校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深圳市龙岗区百外世纪初级中学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深圳市龙岗区雪象学校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深圳市龙岗区宏扬学校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深圳市龙岗区坂田爱爱学校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深圳市龙岗区育英小学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深圳市龙岗区沙湾实验学校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深圳市龙岗区南芳学校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深圳市龙岗区龙湖学校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深圳市龙岗区平南学校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深圳市龙岗区启英学校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深圳市龙岗区兴文学校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深圳市龙岗区爱文学校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深圳市龙岗区南园学校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深圳市龙岗区新南小学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深圳市龙岗区新木小学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深圳市龙岗区金稻田学校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深圳市龙岗区华德学校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深圳菁华中英文实验中学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深圳晟才高级中学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深圳市龙岗区嘉联学校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深圳市龙岗区康乐学校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深圳市龙岗区康乐小学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深圳市龙岗区联邦学校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深圳市龙岗区南芳塘坑学校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深圳市龙岗区德龙学校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深圳市龙岗区康艺学校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深圳市龙岗区融美学校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深圳市龙岗区安康学校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深圳市龙岗区弘文学校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深圳市龙岗区简壹学校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深圳市龙岗区金安小学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深圳市龙岗区龙鹏小学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深圳市龙岗区龙盛学校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深圳市龙岗区爱华学校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深圳市龙岗区兴泰实验学校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深圳市龙岗区文龙学校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深圳市龙岗区龙联学校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深圳市龙岗区英才小学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深圳市龙岗区鹏达学校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深圳市龙岗区丰丽学校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深圳市龙岗区惠民小学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深圳市德邦高级中学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深圳市龙岗区五联崇和学校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深圳市建文外国语学校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深圳市龙岗区龙洲学校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深圳市龙岗区名星学校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深圳市龙岗区建文小学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深圳市龙岗区东珠学校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深圳市龙岗区才德小学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深圳市龙岗区珊蒂泉外国语学校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深圳市枫叶学校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深圳市鹏达高级中学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深圳市龙岗区凯瑞特学校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深圳市龙岗区坪东学校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深圳市龙岗区坪地惠华学校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深圳市龙岗区坪地坪西学校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深圳市龙岗区同兴学校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深圳市龙岗区德琳学校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深圳市中荟高级中学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bl>
    <w:p>
      <w:pPr>
        <w:pStyle w:val="2"/>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（二）服务内容</w:t>
      </w:r>
    </w:p>
    <w:p>
      <w:pPr>
        <w:pStyle w:val="2"/>
        <w:ind w:firstLine="640" w:firstLineChars="200"/>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服务内容主要包括</w:t>
      </w:r>
      <w:r>
        <w:rPr>
          <w:rFonts w:hint="eastAsia" w:ascii="仿宋_GB2312" w:hAnsi="仿宋_GB2312" w:eastAsia="仿宋_GB2312" w:cs="仿宋_GB2312"/>
          <w:b/>
          <w:bCs/>
          <w:sz w:val="32"/>
          <w:szCs w:val="32"/>
          <w:highlight w:val="none"/>
          <w:lang w:val="en-US" w:eastAsia="zh-CN"/>
        </w:rPr>
        <w:t>内控管理制度检查及评估、完善优化内控管理制度、跟进问题整改、开展内控专项培训</w:t>
      </w:r>
      <w:r>
        <w:rPr>
          <w:rFonts w:hint="eastAsia" w:ascii="仿宋_GB2312" w:hAnsi="仿宋_GB2312" w:eastAsia="仿宋_GB2312" w:cs="仿宋_GB2312"/>
          <w:sz w:val="32"/>
          <w:szCs w:val="32"/>
          <w:highlight w:val="none"/>
          <w:lang w:val="en-US" w:eastAsia="zh-CN"/>
        </w:rPr>
        <w:t>四个部分的工作。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内控管理制度检查及评估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检查81所学校各项内控管理制度是否健全、有效、具有可操作性，评估各类经济活动的业务流程程序是否明确，并对内控检查重点内容</w:t>
      </w:r>
      <w:r>
        <w:rPr>
          <w:rFonts w:hint="eastAsia" w:ascii="仿宋_GB2312" w:hAnsi="仿宋_GB2312" w:eastAsia="仿宋_GB2312" w:cs="仿宋_GB2312"/>
          <w:b/>
          <w:bCs/>
          <w:sz w:val="32"/>
          <w:szCs w:val="32"/>
          <w:highlight w:val="none"/>
          <w:lang w:val="en-US" w:eastAsia="zh-CN"/>
        </w:rPr>
        <w:t>制定检查工作方案</w:t>
      </w:r>
      <w:r>
        <w:rPr>
          <w:rFonts w:hint="eastAsia" w:ascii="仿宋_GB2312" w:hAnsi="仿宋_GB2312" w:eastAsia="仿宋_GB2312" w:cs="仿宋_GB2312"/>
          <w:sz w:val="32"/>
          <w:szCs w:val="32"/>
          <w:highlight w:val="none"/>
          <w:lang w:val="en-US" w:eastAsia="zh-CN"/>
        </w:rPr>
        <w:t>。检查重点主要关注以下方面：</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（1）预算管理：预算编制是否科学，根据预算年度的收入增减因素、以前年度结余情况、学校教育教学等编制预算；预算是否按规定程序审批；预算调整是否按照权限审批；预算执行结果是否分析偏差原因等。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（2）收支管理：各类收入是否全部纳入核算、收费票据是否规范；支出管理是否存在支出审批权限不清晰或未严格执行；报销凭证不合规及不完整；大额资金支付未执行集体决策制度等。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（3）采购管理：采购是否履行审批程序；采购过程（招标、谈判、询价）记录是否完整、规范；验收程序缺失或流于形式；付款未以验收合格为依据等。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资产管理：资产购置是否履行审批程序；资产验收入库是否登记入账；资产领用、借用、调拨手续是否完善；是否建立资产定期盘点制度或盘点流于形式；资产处置是否履行审批手续；已处置资产是否进行财务核销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工程管理：是否按规定履行立项审批程序；是否存在应招标工程未招标或规避招标；工程验收是否未按相关规定执行；工程进度款支付是否未严格按合同约定和工程进度审核支付；是否按规定及时办理固定资产入账手续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（6）合同管理：合同签署权限及授权机制是否明确；是否按照合同规定的期限、金额和方式付款；是否归档并保存合同档案资料等。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完善优化内控管理制度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根据检查结果，对81所学校相关各类经济活动的关键控制环节提出符合学校实际、与理（董）事会决策程序相匹配的优化指导方案，协助学校完善修订内控管理制度。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跟进问题整改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针对部分重点学校以及存在突出问题的学校进行重点抽查，跟进学校内控管理制度优化情况，协助学校建立长效内控机制。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开展内控专项培训</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对民办学校校长、分管财务、采购的负责人、财务人员等关键管理岗位提供不少于2场专题培训；每场培训时长不少于4个课时；培训内容包括内控管理理论、实务操作及案例分析等。</w:t>
      </w:r>
    </w:p>
    <w:p>
      <w:pPr>
        <w:pStyle w:val="2"/>
        <w:ind w:firstLine="640" w:firstLineChars="200"/>
        <w:rPr>
          <w:rFonts w:hint="default"/>
          <w:highlight w:val="none"/>
          <w:lang w:val="en-US" w:eastAsia="zh-CN"/>
        </w:rPr>
      </w:pPr>
      <w:r>
        <w:rPr>
          <w:rFonts w:hint="eastAsia" w:ascii="仿宋_GB2312" w:hAnsi="仿宋_GB2312" w:eastAsia="仿宋_GB2312" w:cs="仿宋_GB2312"/>
          <w:sz w:val="32"/>
          <w:szCs w:val="32"/>
          <w:highlight w:val="none"/>
          <w:lang w:val="en-US" w:eastAsia="zh-CN"/>
        </w:rPr>
        <w:t>5.其他事项。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（三）商务需求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1.服务期限：自合同签订之日起至</w:t>
      </w:r>
      <w:r>
        <w:rPr>
          <w:rFonts w:hint="eastAsia" w:ascii="仿宋_GB2312" w:hAnsi="仿宋_GB2312" w:eastAsia="仿宋_GB2312" w:cs="仿宋_GB2312"/>
          <w:b/>
          <w:bCs/>
          <w:sz w:val="32"/>
          <w:szCs w:val="32"/>
          <w:highlight w:val="none"/>
          <w:lang w:val="en-US" w:eastAsia="zh-CN"/>
        </w:rPr>
        <w:t>2025年12月31日</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2.服务费用：本项目业务服务费用实行包干制，包含服务实施费、业务费、差旅费、培训费、餐费、资料费、税费等所有与本次业务有关费用，中标单位在中标后不得以任何理由增加其他费用。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3.项目人员需求一览表</w:t>
      </w:r>
    </w:p>
    <w:p>
      <w:pPr>
        <w:pStyle w:val="2"/>
        <w:rPr>
          <w:rFonts w:hint="eastAsia"/>
          <w:highlight w:val="none"/>
          <w:lang w:val="en-US" w:eastAsia="zh-CN"/>
        </w:rPr>
      </w:pP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1"/>
        <w:gridCol w:w="1110"/>
        <w:gridCol w:w="3069"/>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序号</w:t>
            </w:r>
          </w:p>
        </w:tc>
        <w:tc>
          <w:tcPr>
            <w:tcW w:w="161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人员类别</w:t>
            </w:r>
          </w:p>
        </w:tc>
        <w:tc>
          <w:tcPr>
            <w:tcW w:w="111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★数量</w:t>
            </w:r>
          </w:p>
        </w:tc>
        <w:tc>
          <w:tcPr>
            <w:tcW w:w="3069"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★人员必须具备条件</w:t>
            </w:r>
          </w:p>
        </w:tc>
        <w:tc>
          <w:tcPr>
            <w:tcW w:w="223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161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项目负责人</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306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注册会计师（CPA）</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可不常驻采购单位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161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检查小组长</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306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注册会计师（CPA）或</w:t>
            </w:r>
            <w:r>
              <w:rPr>
                <w:rFonts w:hint="eastAsia" w:ascii="仿宋" w:hAnsi="仿宋" w:eastAsia="仿宋" w:cs="仿宋"/>
                <w:color w:val="auto"/>
                <w:szCs w:val="21"/>
                <w:highlight w:val="none"/>
                <w:lang w:val="en-US" w:eastAsia="zh-CN"/>
              </w:rPr>
              <w:t>中级</w:t>
            </w:r>
            <w:r>
              <w:rPr>
                <w:rFonts w:hint="eastAsia" w:ascii="仿宋" w:hAnsi="仿宋" w:eastAsia="仿宋" w:cs="仿宋"/>
                <w:color w:val="auto"/>
                <w:szCs w:val="21"/>
                <w:highlight w:val="none"/>
                <w:lang w:val="zh-CN"/>
              </w:rPr>
              <w:t>职称</w:t>
            </w:r>
            <w:r>
              <w:rPr>
                <w:rFonts w:hint="eastAsia" w:ascii="仿宋" w:hAnsi="仿宋" w:eastAsia="仿宋" w:cs="仿宋"/>
                <w:color w:val="auto"/>
                <w:szCs w:val="21"/>
                <w:highlight w:val="none"/>
                <w:lang w:val="en-US" w:eastAsia="zh-CN"/>
              </w:rPr>
              <w:t>审计</w:t>
            </w:r>
            <w:r>
              <w:rPr>
                <w:rFonts w:hint="eastAsia" w:ascii="仿宋" w:hAnsi="仿宋" w:eastAsia="仿宋" w:cs="仿宋"/>
                <w:color w:val="auto"/>
                <w:szCs w:val="21"/>
                <w:highlight w:val="none"/>
                <w:lang w:val="zh-CN"/>
              </w:rPr>
              <w:t>师</w:t>
            </w:r>
            <w:r>
              <w:rPr>
                <w:rFonts w:hint="eastAsia" w:ascii="仿宋" w:hAnsi="仿宋" w:eastAsia="仿宋" w:cs="仿宋"/>
                <w:color w:val="auto"/>
                <w:szCs w:val="21"/>
                <w:highlight w:val="none"/>
                <w:lang w:val="en-US" w:eastAsia="zh-CN"/>
              </w:rPr>
              <w:t>或会计师或以上职称</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161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检查人员</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3069" w:type="dxa"/>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注册会计师（CPA）或</w:t>
            </w:r>
            <w:r>
              <w:rPr>
                <w:rFonts w:hint="eastAsia" w:ascii="仿宋" w:hAnsi="仿宋" w:eastAsia="仿宋" w:cs="仿宋"/>
                <w:color w:val="auto"/>
                <w:szCs w:val="21"/>
                <w:highlight w:val="none"/>
                <w:lang w:val="en-US" w:eastAsia="zh-CN"/>
              </w:rPr>
              <w:t>初级</w:t>
            </w:r>
            <w:r>
              <w:rPr>
                <w:rFonts w:hint="eastAsia" w:ascii="仿宋" w:hAnsi="仿宋" w:eastAsia="仿宋" w:cs="仿宋"/>
                <w:color w:val="auto"/>
                <w:szCs w:val="21"/>
                <w:highlight w:val="none"/>
                <w:lang w:val="zh-CN"/>
              </w:rPr>
              <w:t>职称</w:t>
            </w:r>
            <w:r>
              <w:rPr>
                <w:rFonts w:hint="eastAsia" w:ascii="仿宋" w:hAnsi="仿宋" w:eastAsia="仿宋" w:cs="仿宋"/>
                <w:color w:val="auto"/>
                <w:szCs w:val="21"/>
                <w:highlight w:val="none"/>
                <w:lang w:val="en-US" w:eastAsia="zh-CN"/>
              </w:rPr>
              <w:t>审计</w:t>
            </w:r>
            <w:r>
              <w:rPr>
                <w:rFonts w:hint="eastAsia" w:ascii="仿宋" w:hAnsi="仿宋" w:eastAsia="仿宋" w:cs="仿宋"/>
                <w:color w:val="auto"/>
                <w:szCs w:val="21"/>
                <w:highlight w:val="none"/>
                <w:lang w:val="zh-CN"/>
              </w:rPr>
              <w:t>师</w:t>
            </w:r>
            <w:r>
              <w:rPr>
                <w:rFonts w:hint="eastAsia" w:ascii="仿宋" w:hAnsi="仿宋" w:eastAsia="仿宋" w:cs="仿宋"/>
                <w:color w:val="auto"/>
                <w:szCs w:val="21"/>
                <w:highlight w:val="none"/>
                <w:lang w:val="en-US" w:eastAsia="zh-CN"/>
              </w:rPr>
              <w:t>或会计师或以上职称</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19"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合计</w:t>
            </w:r>
          </w:p>
        </w:tc>
        <w:tc>
          <w:tcPr>
            <w:tcW w:w="111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306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①拟安排的“项目负责人”及“检查小组长”中标后原则上不能变更。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②1名项目负责人(需专业人员，非检查小组长，非事务所负责人)做好项目的沟通协调、计划总结及质量把控工作，8名检查工作人员分成4组，每组2人（上述表格序号2、3岗位各一人），需在指定时间常驻采购单位检查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”号为实质性要求，投标人必须满足。投标人应提供相关证明材料（相关证书），否则按无效标处理。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”投标人应承诺拟派本项目检查人员人数、最低专业技术资格满足招标文件要求（提供承诺函，格式自拟）。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4.项目验收要求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方完成规定的民办学校全部检查工作，按照国家会计标准以及龙岗区教育局的要求编制检查报告，出具一份涵盖81所学校整体情况的内控管理检查优化汇总报告（一式四份），并附一份问题及优化情况清单，同时整理、移交工作底稿，并制成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本次检查工作共有三个重要阶段：检查外勤阶段（30天内）、检查意见反馈阶段（20天内，检查整改意见下发后5个工作日内反馈意见，逾期未反馈的视为无异议）和检查报告阶段（10天内）。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本次检查工作具体要求如下：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1.中标单位需服从工作安排，在规定的时间到指定的工作地点开展工作；整个检查工作过程，中标单位要保持同龙岗区教育局负责该项目的工作人员联系、沟通。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检查人员对其在开展检查过程中知悉的被检查单位的商业秘密负有保密责任，不得利用其为自己或他人谋取利益；检查人员不得滥用职权、徇私舞弊、玩忽职守，不得接收被检查单位的财物及宴请，做到客观公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3.能够严格按照龙岗区教育局的工作规范、程序和要求开展工作，对相关检查人员进行事前培训，并接受相关的业务指导。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按照独立、客观、公正的原则，在注册会计师执业准则的指导下，根据本次检查的程序，对被检查单位进行检查；在充分调查论证的基础上进行职业推断和客观评判，拟出检查初步报告。检查初步报告经龙岗区教育局审核后，出具正式报告，报告中财务数据、经济业务事实、引用法规依据不得出现错误。对于与本次检查相关的工作事宜不得另行收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5.根据要求编制、整理、移交工作底稿（存储于U盘或光盘等移交），并制成档案。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6.针对检查过程中发现的问题提出整改优化指导意见，协助学校完善修订内控管理制度。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 w:val="0"/>
          <w:bCs/>
          <w:sz w:val="32"/>
          <w:szCs w:val="32"/>
          <w:highlight w:val="none"/>
        </w:rPr>
        <w:t>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（一）采购人的权利和义务</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1.督促学校及时为中标单位的检查工作提供其所要求的全部会计资料和其他有关资料。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2.为中标单位委派的检查工作人员提供必要的工作条件和协助。</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3.有权要求中标单位在规定的时间内提供检查工作计划、工作方案、检查报告和检查档案资料等。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4.有权要求中标供应商适当调整委派人员。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5.如中标方未经采购人允许对外泄露相关财务资料，造成不良影响，采购方有权向中标单位追索经济赔偿并追究相关法律责任。</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6.提供检查单位相关负责人联系方式。</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7.项目跟进付款工作。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（二）中标供应商的权利和义务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按照《中华人民共和国民办教育促进法》、《深圳市民办中小学财务管理办法》等相关法律法规及采购方的要求进行检查，按时出具真实、合法的检查报告。检查报告格式总体保持一致，因检查报告中出现法规引用不当、表达错误等原因导致多次反复修改，第一次口头警告，第二次发书面整改，第三次将书面报区财政局处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2.检查过程中恪守实事求是、客观公正。</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项目负责人要定期与采购单位项目负责人进行沟通交流，同时中标供应商做好阶段性（初期、中期及后期）的计划总结工作，并形成书面总结材料送采购方，总结内容包含但不限于以下内容：检查进度情况、下一步工作计划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4.该项目检查人员必须是中标方事务所供职人员，中标方如实提供检查人员专业水平状况，并保证检查人员的检查工作水准，若检查人员无法胜任工作，须按采购方要求更换人员。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该项目检查人员在服务期间不得以采购方名义从事与检查工作无关的活动；对检查过程中知悉的商业秘密负有保密责任，除法律另有规定外，未经采购方或被检查单位书面同意，中标方及检查人员不得将被检查单位提供的资料对外泄露。否则，中标方承担由此产生的一切责任与后果，若因此给采购方造成损失的，中标方应予以全部赔偿。</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6.检查项目结束后，中标方要如数归还被检查的会计资料，并及时整理检查资料，装订检查档案并移交采购方。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7.中标方不得将检查项目非法分包或转包给任何单位和个人。否则，采购方有权即刻终止合同，并要求中标供应商赔偿相应损失。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中标供应商必须严格按照招标文件项目服务要求，按时安排足够数量并符合“人员配置要求”（见“商务需求”内容）的检查人员，进驻采购单位开展检查服务工作任务。如中标供应商未按要求安排足够数量并符合“人员相关要求”的检查人员到采购单位开展检查服务工作任务，导致采购方无法正常完成检查服务工作任务，采购方严格按《深圳市政府采购供应商诚信管理暂行办法》第六条，书面报请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项目履约期间，如有检查人员离职等情况导致无法完成采购单位检查服务工作任务，中标供应商按要求安排符合条件的检查人员接替其相关检查服务工作。一经出现缺岗情况，限3个日历日整改完毕，未按要求整改或者履约期间出现二次缺岗导致采购无法完成检查服务工作，采购单位直接书面报告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3.中标供应商在履约期间，如果因在岗的检查人员疏忽造成采购人的损失（包括经济与名誉等方面的损失），应当由中标供应商赔偿采购人的所有损失。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（四）投标响应承诺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 w:firstLineChars="50"/>
        <w:jc w:val="both"/>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b/>
          <w:bCs/>
          <w:color w:val="FF0000"/>
          <w:kern w:val="2"/>
          <w:sz w:val="32"/>
          <w:szCs w:val="32"/>
          <w:highlight w:val="none"/>
          <w:lang w:val="en-US" w:eastAsia="zh-CN" w:bidi="ar-SA"/>
        </w:rPr>
        <w:t xml:space="preserve"> </w:t>
      </w:r>
      <w:r>
        <w:rPr>
          <w:rFonts w:hint="eastAsia" w:ascii="仿宋_GB2312" w:hAnsi="仿宋_GB2312" w:eastAsia="仿宋_GB2312" w:cs="仿宋_GB2312"/>
          <w:b/>
          <w:bCs/>
          <w:color w:val="auto"/>
          <w:kern w:val="2"/>
          <w:sz w:val="32"/>
          <w:szCs w:val="32"/>
          <w:highlight w:val="none"/>
          <w:lang w:val="en-US" w:eastAsia="zh-CN" w:bidi="ar-SA"/>
        </w:rPr>
        <w:t>供应商参与投标的，视为已完全理解和接受项目需求的所有要求，并能做出实质性响应承诺。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投标人资质要求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（一）具有独立法人资格；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（二）本项目不接受联合体投标，不允许分包；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（三）投标人为具备营业执照和执业许可的会计师事务所；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（六）具备《中华人民共和国政府采购法》第二十二条第一款的条件（由供应商在《政府采购投标及履约承诺函》中作出声明）；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（七）未被列入失信被执行人、重大税收违法案件当事人名单、政府采购严重违法失信行为记录名单（由供应商在《政府采购投标及履约承诺函》中作出声明）。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注：“信用中国”、“中国政府采购网”、“深圳信用网”以及“深圳市政府采购监管网”为供应商信用信息的查询渠道，相关信息以开标当日的查询结果为准。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按深圳市龙岗区财政局有关规定付款。在实际工作检查过程中，因政策调整或出现个别学校未能组织开展检查工作的情况，不分学校类型，均以中标价格除以81所学校得出的平均数予以直接核减费用，据实结算。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投标要求和评标时间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b w:val="0"/>
          <w:bCs w:val="0"/>
          <w:sz w:val="32"/>
          <w:szCs w:val="32"/>
          <w:highlight w:val="none"/>
          <w:lang w:val="en-US" w:eastAsia="zh-CN"/>
        </w:rPr>
        <w:t>6月24日</w:t>
      </w:r>
      <w:r>
        <w:rPr>
          <w:rFonts w:hint="eastAsia" w:ascii="仿宋_GB2312" w:hAnsi="仿宋_GB2312" w:eastAsia="仿宋_GB2312" w:cs="仿宋_GB2312"/>
          <w:sz w:val="32"/>
          <w:szCs w:val="32"/>
          <w:highlight w:val="none"/>
          <w:lang w:val="en-US" w:eastAsia="zh-CN"/>
        </w:rPr>
        <w:t>14:30前</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应标公司到</w:t>
      </w:r>
      <w:r>
        <w:rPr>
          <w:rFonts w:hint="eastAsia" w:ascii="仿宋_GB2312" w:hAnsi="仿宋_GB2312" w:eastAsia="仿宋_GB2312" w:cs="仿宋_GB2312"/>
          <w:bCs/>
          <w:sz w:val="32"/>
          <w:szCs w:val="32"/>
          <w:highlight w:val="none"/>
        </w:rPr>
        <w:t>深圳市龙岗区教育局</w:t>
      </w:r>
      <w:r>
        <w:rPr>
          <w:rFonts w:hint="eastAsia" w:ascii="仿宋_GB2312" w:hAnsi="仿宋_GB2312" w:eastAsia="仿宋_GB2312" w:cs="仿宋_GB2312"/>
          <w:bCs/>
          <w:sz w:val="32"/>
          <w:szCs w:val="32"/>
          <w:highlight w:val="none"/>
          <w:lang w:val="en-US" w:eastAsia="zh-CN"/>
        </w:rPr>
        <w:t>310室</w:t>
      </w:r>
      <w:r>
        <w:rPr>
          <w:rFonts w:hint="eastAsia" w:ascii="仿宋_GB2312" w:hAnsi="仿宋_GB2312" w:eastAsia="仿宋_GB2312" w:cs="仿宋_GB2312"/>
          <w:sz w:val="32"/>
          <w:szCs w:val="32"/>
          <w:highlight w:val="none"/>
          <w:lang w:val="en-US" w:eastAsia="zh-CN"/>
        </w:rPr>
        <w:t>提交投标文件</w:t>
      </w:r>
      <w:r>
        <w:rPr>
          <w:rFonts w:hint="eastAsia" w:ascii="仿宋_GB2312" w:hAnsi="仿宋_GB2312" w:eastAsia="仿宋_GB2312" w:cs="仿宋_GB2312"/>
          <w:b/>
          <w:bCs/>
          <w:sz w:val="32"/>
          <w:szCs w:val="32"/>
          <w:highlight w:val="none"/>
          <w:lang w:val="en-US" w:eastAsia="zh-CN"/>
        </w:rPr>
        <w:t>（一式五份）</w:t>
      </w:r>
      <w:r>
        <w:rPr>
          <w:rFonts w:hint="eastAsia" w:ascii="仿宋_GB2312" w:hAnsi="仿宋_GB2312" w:eastAsia="仿宋_GB2312" w:cs="仿宋_GB2312"/>
          <w:sz w:val="32"/>
          <w:szCs w:val="32"/>
          <w:highlight w:val="none"/>
          <w:lang w:val="en-US" w:eastAsia="zh-CN"/>
        </w:rPr>
        <w:t>，逾期提交将不予受理。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特别提醒：（1）由公司法人代表参加应标的须提供身份证复印件（现场验原件）；（2）由公司授权委托代理人参加应标的须交身份证复印件（现场验原件）和法人代表签署的授权委托书原件；（3）提交标书时请现场签到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sz w:val="32"/>
          <w:szCs w:val="32"/>
          <w:highlight w:val="none"/>
          <w:lang w:val="en-US" w:eastAsia="zh-CN"/>
        </w:rPr>
        <w:t>2025年</w:t>
      </w:r>
      <w:r>
        <w:rPr>
          <w:rFonts w:hint="eastAsia" w:ascii="仿宋_GB2312" w:hAnsi="仿宋_GB2312" w:eastAsia="仿宋_GB2312" w:cs="仿宋_GB2312"/>
          <w:b w:val="0"/>
          <w:bCs w:val="0"/>
          <w:sz w:val="32"/>
          <w:szCs w:val="32"/>
          <w:highlight w:val="none"/>
          <w:lang w:val="en-US" w:eastAsia="zh-CN"/>
        </w:rPr>
        <w:t>6月24日</w:t>
      </w:r>
      <w:r>
        <w:rPr>
          <w:rFonts w:hint="eastAsia" w:ascii="仿宋_GB2312" w:hAnsi="仿宋_GB2312" w:eastAsia="仿宋_GB2312" w:cs="仿宋_GB2312"/>
          <w:sz w:val="32"/>
          <w:szCs w:val="32"/>
          <w:highlight w:val="none"/>
          <w:lang w:val="en-US" w:eastAsia="zh-CN"/>
        </w:rPr>
        <w:t>15:00，区教育局评标小组公开开标，确认预中标公司及中标价格。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最终中标公司及中标价格通过龙岗政府在线的龙岗区教育局“阳光采购”栏目对结果进行公示，并发出中标通知书。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业务联系人：</w:t>
      </w:r>
      <w:r>
        <w:rPr>
          <w:rFonts w:hint="eastAsia" w:ascii="仿宋_GB2312" w:hAnsi="仿宋_GB2312" w:eastAsia="仿宋_GB2312" w:cs="仿宋_GB2312"/>
          <w:sz w:val="32"/>
          <w:szCs w:val="32"/>
          <w:highlight w:val="none"/>
          <w:lang w:val="en-US" w:eastAsia="zh-CN"/>
        </w:rPr>
        <w:t>简老师</w:t>
      </w:r>
      <w:r>
        <w:rPr>
          <w:rFonts w:hint="eastAsia" w:ascii="仿宋_GB2312" w:hAnsi="仿宋_GB2312" w:eastAsia="仿宋_GB2312" w:cs="仿宋_GB2312"/>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联系电话：</w:t>
      </w:r>
      <w:r>
        <w:rPr>
          <w:rFonts w:hint="eastAsia" w:ascii="仿宋_GB2312" w:hAnsi="仿宋_GB2312" w:eastAsia="仿宋_GB2312" w:cs="仿宋_GB2312"/>
          <w:sz w:val="32"/>
          <w:szCs w:val="32"/>
          <w:highlight w:val="none"/>
          <w:lang w:val="en-US" w:eastAsia="zh-CN"/>
        </w:rPr>
        <w:t>89551981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地址：龙岗区中心城清林中路213号教育综合大厦310室。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numPr>
          <w:ilvl w:val="0"/>
          <w:numId w:val="0"/>
        </w:numPr>
        <w:spacing w:line="600" w:lineRule="exact"/>
        <w:ind w:leftChars="0"/>
        <w:jc w:val="right"/>
        <w:rPr>
          <w:rFonts w:hint="eastAsia" w:ascii="仿宋" w:hAnsi="仿宋" w:eastAsia="仿宋" w:cs="仿宋"/>
          <w:bCs/>
          <w:kern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龙岗区教育局</w:t>
      </w:r>
    </w:p>
    <w:p>
      <w:pPr>
        <w:numPr>
          <w:ilvl w:val="0"/>
          <w:numId w:val="0"/>
        </w:numPr>
        <w:spacing w:line="600" w:lineRule="exact"/>
        <w:ind w:leftChars="0"/>
        <w:jc w:val="right"/>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2025年6月18日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pStyle w:val="3"/>
        <w:rPr>
          <w:rFonts w:hint="eastAsia" w:ascii="仿宋_GB2312" w:hAnsi="仿宋_GB2312" w:eastAsia="仿宋_GB2312" w:cs="仿宋_GB2312"/>
          <w:b w:val="0"/>
          <w:bCs w:val="0"/>
          <w:sz w:val="32"/>
          <w:szCs w:val="32"/>
          <w:highlight w:val="none"/>
          <w:lang w:val="en-US" w:eastAsia="zh-CN"/>
        </w:rPr>
      </w:pPr>
    </w:p>
    <w:p>
      <w:pPr>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pStyle w:val="3"/>
        <w:rPr>
          <w:rFonts w:hint="eastAsia" w:ascii="仿宋_GB2312" w:hAnsi="仿宋_GB2312" w:eastAsia="仿宋_GB2312" w:cs="仿宋_GB2312"/>
          <w:b w:val="0"/>
          <w:bCs w:val="0"/>
          <w:sz w:val="32"/>
          <w:szCs w:val="32"/>
          <w:highlight w:val="none"/>
          <w:lang w:val="en-US" w:eastAsia="zh-CN"/>
        </w:rPr>
      </w:pPr>
    </w:p>
    <w:p>
      <w:pPr>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pStyle w:val="3"/>
        <w:rPr>
          <w:rFonts w:hint="eastAsia" w:ascii="仿宋_GB2312" w:hAnsi="仿宋_GB2312" w:eastAsia="仿宋_GB2312" w:cs="仿宋_GB2312"/>
          <w:b w:val="0"/>
          <w:bCs w:val="0"/>
          <w:sz w:val="32"/>
          <w:szCs w:val="32"/>
          <w:highlight w:val="none"/>
          <w:lang w:val="en-US" w:eastAsia="zh-CN"/>
        </w:rPr>
      </w:pPr>
    </w:p>
    <w:p>
      <w:pPr>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1">
    <w:nsid w:val="A8068B74"/>
    <w:multiLevelType w:val="singleLevel"/>
    <w:tmpl w:val="A8068B74"/>
    <w:lvl w:ilvl="0" w:tentative="0">
      <w:start w:val="1"/>
      <w:numFmt w:val="decimal"/>
      <w:suff w:val="nothing"/>
      <w:lvlText w:val="%1、"/>
      <w:lvlJc w:val="left"/>
    </w:lvl>
  </w:abstractNum>
  <w:abstractNum w:abstractNumId="2">
    <w:nsid w:val="DDAC2728"/>
    <w:multiLevelType w:val="singleLevel"/>
    <w:tmpl w:val="DDAC2728"/>
    <w:lvl w:ilvl="0" w:tentative="0">
      <w:start w:val="1"/>
      <w:numFmt w:val="decimal"/>
      <w:suff w:val="nothing"/>
      <w:lvlText w:val="%1、"/>
      <w:lvlJc w:val="left"/>
    </w:lvl>
  </w:abstractNum>
  <w:abstractNum w:abstractNumId="3">
    <w:nsid w:val="652D12B6"/>
    <w:multiLevelType w:val="singleLevel"/>
    <w:tmpl w:val="652D12B6"/>
    <w:lvl w:ilvl="0" w:tentative="0">
      <w:start w:val="1"/>
      <w:numFmt w:val="decimal"/>
      <w:suff w:val="nothing"/>
      <w:lvlText w:val="%1."/>
      <w:lvlJc w:val="left"/>
      <w:rPr>
        <w:rFonts w:hint="default"/>
        <w:b/>
        <w:bC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ODBlYmZlMWViNTIwZWIxNDRhZDRjZmI4NDE3MzUifQ=="/>
  </w:docVars>
  <w:rsids>
    <w:rsidRoot w:val="1E820E05"/>
    <w:rsid w:val="000F76C6"/>
    <w:rsid w:val="003D4818"/>
    <w:rsid w:val="00441793"/>
    <w:rsid w:val="00515C5E"/>
    <w:rsid w:val="00610597"/>
    <w:rsid w:val="006B6D1F"/>
    <w:rsid w:val="00737B08"/>
    <w:rsid w:val="00951A38"/>
    <w:rsid w:val="00AB35C0"/>
    <w:rsid w:val="00AD7338"/>
    <w:rsid w:val="00BE1545"/>
    <w:rsid w:val="00D55416"/>
    <w:rsid w:val="00F66F31"/>
    <w:rsid w:val="010D427B"/>
    <w:rsid w:val="01234E2A"/>
    <w:rsid w:val="01334DA3"/>
    <w:rsid w:val="013712F7"/>
    <w:rsid w:val="014B08FF"/>
    <w:rsid w:val="01527AD7"/>
    <w:rsid w:val="015B4FE6"/>
    <w:rsid w:val="0163257D"/>
    <w:rsid w:val="016C2D4F"/>
    <w:rsid w:val="017442FA"/>
    <w:rsid w:val="017450EB"/>
    <w:rsid w:val="017B4AA5"/>
    <w:rsid w:val="017D31AE"/>
    <w:rsid w:val="01883901"/>
    <w:rsid w:val="018A1427"/>
    <w:rsid w:val="01922277"/>
    <w:rsid w:val="01DD3C4D"/>
    <w:rsid w:val="01E2797E"/>
    <w:rsid w:val="01EA0E1A"/>
    <w:rsid w:val="01F00318"/>
    <w:rsid w:val="01F777E1"/>
    <w:rsid w:val="020E6922"/>
    <w:rsid w:val="02290334"/>
    <w:rsid w:val="022E6257"/>
    <w:rsid w:val="02315D47"/>
    <w:rsid w:val="023E370E"/>
    <w:rsid w:val="02467A44"/>
    <w:rsid w:val="024969D8"/>
    <w:rsid w:val="0256755B"/>
    <w:rsid w:val="025F28B4"/>
    <w:rsid w:val="02A438F6"/>
    <w:rsid w:val="02A62291"/>
    <w:rsid w:val="02AE45B7"/>
    <w:rsid w:val="02B726F0"/>
    <w:rsid w:val="02BF0840"/>
    <w:rsid w:val="02C66D61"/>
    <w:rsid w:val="02D72D01"/>
    <w:rsid w:val="02EB32E4"/>
    <w:rsid w:val="02F8296A"/>
    <w:rsid w:val="02FA613C"/>
    <w:rsid w:val="02FB6CDA"/>
    <w:rsid w:val="02FE3E7B"/>
    <w:rsid w:val="03035656"/>
    <w:rsid w:val="0307709D"/>
    <w:rsid w:val="031C07A5"/>
    <w:rsid w:val="033110E2"/>
    <w:rsid w:val="033A4B32"/>
    <w:rsid w:val="034E4AB3"/>
    <w:rsid w:val="035166A0"/>
    <w:rsid w:val="036D1000"/>
    <w:rsid w:val="036D3110"/>
    <w:rsid w:val="0370527B"/>
    <w:rsid w:val="03712803"/>
    <w:rsid w:val="03AC1B29"/>
    <w:rsid w:val="03B1713F"/>
    <w:rsid w:val="03C2759E"/>
    <w:rsid w:val="03C30C20"/>
    <w:rsid w:val="03C33DDE"/>
    <w:rsid w:val="03C53F66"/>
    <w:rsid w:val="03D8250A"/>
    <w:rsid w:val="03E53C71"/>
    <w:rsid w:val="03E94AA1"/>
    <w:rsid w:val="03EF5EB9"/>
    <w:rsid w:val="03F92894"/>
    <w:rsid w:val="03FA20DB"/>
    <w:rsid w:val="03FE7EAB"/>
    <w:rsid w:val="04041965"/>
    <w:rsid w:val="04053E41"/>
    <w:rsid w:val="04114082"/>
    <w:rsid w:val="04245B63"/>
    <w:rsid w:val="042C28C0"/>
    <w:rsid w:val="04323725"/>
    <w:rsid w:val="043602EE"/>
    <w:rsid w:val="04377285"/>
    <w:rsid w:val="043833BC"/>
    <w:rsid w:val="04516D24"/>
    <w:rsid w:val="04536448"/>
    <w:rsid w:val="04575718"/>
    <w:rsid w:val="04581CB1"/>
    <w:rsid w:val="04583A5F"/>
    <w:rsid w:val="04684391"/>
    <w:rsid w:val="04697A1A"/>
    <w:rsid w:val="047E1B99"/>
    <w:rsid w:val="047E27BE"/>
    <w:rsid w:val="048F6830"/>
    <w:rsid w:val="0495080F"/>
    <w:rsid w:val="049B704D"/>
    <w:rsid w:val="049F51EA"/>
    <w:rsid w:val="04E373C8"/>
    <w:rsid w:val="04F46F4B"/>
    <w:rsid w:val="04FE17BB"/>
    <w:rsid w:val="05056D9E"/>
    <w:rsid w:val="05111794"/>
    <w:rsid w:val="05224264"/>
    <w:rsid w:val="05290708"/>
    <w:rsid w:val="052C48C4"/>
    <w:rsid w:val="055204AE"/>
    <w:rsid w:val="056870AB"/>
    <w:rsid w:val="05721DB6"/>
    <w:rsid w:val="058F3F11"/>
    <w:rsid w:val="059E36F3"/>
    <w:rsid w:val="05A30D0A"/>
    <w:rsid w:val="05A84572"/>
    <w:rsid w:val="05B927CC"/>
    <w:rsid w:val="05CF70AF"/>
    <w:rsid w:val="05D55C6E"/>
    <w:rsid w:val="05D709B3"/>
    <w:rsid w:val="05DB4947"/>
    <w:rsid w:val="05E96551"/>
    <w:rsid w:val="05F477B7"/>
    <w:rsid w:val="05FF6C49"/>
    <w:rsid w:val="061816F7"/>
    <w:rsid w:val="06257970"/>
    <w:rsid w:val="06351DE9"/>
    <w:rsid w:val="063B3638"/>
    <w:rsid w:val="06476EE0"/>
    <w:rsid w:val="065B5A88"/>
    <w:rsid w:val="06606C84"/>
    <w:rsid w:val="0667442D"/>
    <w:rsid w:val="066F1AAA"/>
    <w:rsid w:val="06734BC6"/>
    <w:rsid w:val="067D3B25"/>
    <w:rsid w:val="068E3B0E"/>
    <w:rsid w:val="068F57F3"/>
    <w:rsid w:val="069074E0"/>
    <w:rsid w:val="069B6A3E"/>
    <w:rsid w:val="06C47189"/>
    <w:rsid w:val="06E93B76"/>
    <w:rsid w:val="06F23CF7"/>
    <w:rsid w:val="06FA011B"/>
    <w:rsid w:val="070168AD"/>
    <w:rsid w:val="07043A2A"/>
    <w:rsid w:val="070526D5"/>
    <w:rsid w:val="07153E89"/>
    <w:rsid w:val="074F7D92"/>
    <w:rsid w:val="07582C65"/>
    <w:rsid w:val="07591FC8"/>
    <w:rsid w:val="075A6E7B"/>
    <w:rsid w:val="076D15CF"/>
    <w:rsid w:val="0786465C"/>
    <w:rsid w:val="07943000"/>
    <w:rsid w:val="07A41B6D"/>
    <w:rsid w:val="07B76CEE"/>
    <w:rsid w:val="07D64347"/>
    <w:rsid w:val="07DF7E70"/>
    <w:rsid w:val="07EC781F"/>
    <w:rsid w:val="07ED25AB"/>
    <w:rsid w:val="07F43A9E"/>
    <w:rsid w:val="08050524"/>
    <w:rsid w:val="08065580"/>
    <w:rsid w:val="08157C76"/>
    <w:rsid w:val="081C50CA"/>
    <w:rsid w:val="081D52ED"/>
    <w:rsid w:val="08236132"/>
    <w:rsid w:val="082F2D28"/>
    <w:rsid w:val="08386081"/>
    <w:rsid w:val="08422A5C"/>
    <w:rsid w:val="08585DDB"/>
    <w:rsid w:val="08624EAC"/>
    <w:rsid w:val="08634780"/>
    <w:rsid w:val="087E3BC1"/>
    <w:rsid w:val="088263AE"/>
    <w:rsid w:val="088968DD"/>
    <w:rsid w:val="088E04ED"/>
    <w:rsid w:val="08AE687C"/>
    <w:rsid w:val="08D04E00"/>
    <w:rsid w:val="091066B6"/>
    <w:rsid w:val="091268D2"/>
    <w:rsid w:val="09176FD3"/>
    <w:rsid w:val="091B60CD"/>
    <w:rsid w:val="093C394F"/>
    <w:rsid w:val="09453417"/>
    <w:rsid w:val="096F5AD2"/>
    <w:rsid w:val="09B71227"/>
    <w:rsid w:val="09BF1E8A"/>
    <w:rsid w:val="09DC6C77"/>
    <w:rsid w:val="09F17D6E"/>
    <w:rsid w:val="09F50F48"/>
    <w:rsid w:val="09F91840"/>
    <w:rsid w:val="09FC6C3A"/>
    <w:rsid w:val="09FD1ADB"/>
    <w:rsid w:val="0A051860"/>
    <w:rsid w:val="0A083831"/>
    <w:rsid w:val="0A2F210F"/>
    <w:rsid w:val="0A374116"/>
    <w:rsid w:val="0A3C2861"/>
    <w:rsid w:val="0A3C5E6F"/>
    <w:rsid w:val="0A3D797F"/>
    <w:rsid w:val="0A4601F6"/>
    <w:rsid w:val="0A474359"/>
    <w:rsid w:val="0A4F1460"/>
    <w:rsid w:val="0A5B1BB3"/>
    <w:rsid w:val="0A6051EA"/>
    <w:rsid w:val="0ABE0573"/>
    <w:rsid w:val="0ABE2142"/>
    <w:rsid w:val="0AD73FFA"/>
    <w:rsid w:val="0AFD0EBC"/>
    <w:rsid w:val="0B2C354F"/>
    <w:rsid w:val="0B381EF4"/>
    <w:rsid w:val="0B3E28E6"/>
    <w:rsid w:val="0B441443"/>
    <w:rsid w:val="0B613662"/>
    <w:rsid w:val="0B955598"/>
    <w:rsid w:val="0B9F1C80"/>
    <w:rsid w:val="0BA31A63"/>
    <w:rsid w:val="0BAE5905"/>
    <w:rsid w:val="0BAF080B"/>
    <w:rsid w:val="0BB377CC"/>
    <w:rsid w:val="0BBF2967"/>
    <w:rsid w:val="0BD55679"/>
    <w:rsid w:val="0BF56037"/>
    <w:rsid w:val="0C013CF8"/>
    <w:rsid w:val="0C2C1FAA"/>
    <w:rsid w:val="0C395F24"/>
    <w:rsid w:val="0C41302A"/>
    <w:rsid w:val="0C4A0131"/>
    <w:rsid w:val="0C601702"/>
    <w:rsid w:val="0C851852"/>
    <w:rsid w:val="0C8D6008"/>
    <w:rsid w:val="0C9924F3"/>
    <w:rsid w:val="0C994C14"/>
    <w:rsid w:val="0CB462EB"/>
    <w:rsid w:val="0CB67574"/>
    <w:rsid w:val="0CC106AB"/>
    <w:rsid w:val="0CCC4FEA"/>
    <w:rsid w:val="0CD82045"/>
    <w:rsid w:val="0CEE31B2"/>
    <w:rsid w:val="0CEE4F60"/>
    <w:rsid w:val="0CF5100D"/>
    <w:rsid w:val="0CF85DDF"/>
    <w:rsid w:val="0D256B12"/>
    <w:rsid w:val="0D314E4D"/>
    <w:rsid w:val="0D407F3C"/>
    <w:rsid w:val="0D4A10E3"/>
    <w:rsid w:val="0D4A5FB9"/>
    <w:rsid w:val="0D573276"/>
    <w:rsid w:val="0D5A0848"/>
    <w:rsid w:val="0D5C2C89"/>
    <w:rsid w:val="0D6945E7"/>
    <w:rsid w:val="0D9C49BC"/>
    <w:rsid w:val="0D9D72D5"/>
    <w:rsid w:val="0DA27AF9"/>
    <w:rsid w:val="0DB705D2"/>
    <w:rsid w:val="0DC21F49"/>
    <w:rsid w:val="0DC363ED"/>
    <w:rsid w:val="0DDD1CD6"/>
    <w:rsid w:val="0DE93979"/>
    <w:rsid w:val="0DFC36AD"/>
    <w:rsid w:val="0E067912"/>
    <w:rsid w:val="0E342E47"/>
    <w:rsid w:val="0E344BF5"/>
    <w:rsid w:val="0E364E11"/>
    <w:rsid w:val="0E44461B"/>
    <w:rsid w:val="0E4F6E68"/>
    <w:rsid w:val="0E537DC7"/>
    <w:rsid w:val="0E5408DF"/>
    <w:rsid w:val="0E72036A"/>
    <w:rsid w:val="0E731CA3"/>
    <w:rsid w:val="0E7E40C2"/>
    <w:rsid w:val="0E975183"/>
    <w:rsid w:val="0E9C09EC"/>
    <w:rsid w:val="0EA0228A"/>
    <w:rsid w:val="0EA26024"/>
    <w:rsid w:val="0ED7326D"/>
    <w:rsid w:val="0EE05EFB"/>
    <w:rsid w:val="0EF90544"/>
    <w:rsid w:val="0F040A6B"/>
    <w:rsid w:val="0F0B51B5"/>
    <w:rsid w:val="0F3D1663"/>
    <w:rsid w:val="0F3F7CF5"/>
    <w:rsid w:val="0F526325"/>
    <w:rsid w:val="0F5B4403"/>
    <w:rsid w:val="0F615EBD"/>
    <w:rsid w:val="0F6B6303"/>
    <w:rsid w:val="0F6C6610"/>
    <w:rsid w:val="0F8556A3"/>
    <w:rsid w:val="0F9768CA"/>
    <w:rsid w:val="0FBE4068"/>
    <w:rsid w:val="0FBF0E36"/>
    <w:rsid w:val="0FC14D11"/>
    <w:rsid w:val="0FD61CDB"/>
    <w:rsid w:val="0FD85A54"/>
    <w:rsid w:val="0FE87ADB"/>
    <w:rsid w:val="0FEF36E8"/>
    <w:rsid w:val="0FFC5D23"/>
    <w:rsid w:val="0FFE17A0"/>
    <w:rsid w:val="10152804"/>
    <w:rsid w:val="10385114"/>
    <w:rsid w:val="104135F9"/>
    <w:rsid w:val="10563644"/>
    <w:rsid w:val="10636C3B"/>
    <w:rsid w:val="10804E2C"/>
    <w:rsid w:val="10886A26"/>
    <w:rsid w:val="108A1444"/>
    <w:rsid w:val="10987CF4"/>
    <w:rsid w:val="10AA61E9"/>
    <w:rsid w:val="10AF2C58"/>
    <w:rsid w:val="10BE2E9B"/>
    <w:rsid w:val="10C42A48"/>
    <w:rsid w:val="10C63B0F"/>
    <w:rsid w:val="10CD7F52"/>
    <w:rsid w:val="10D768AB"/>
    <w:rsid w:val="10DB1C9F"/>
    <w:rsid w:val="110034B4"/>
    <w:rsid w:val="111D1051"/>
    <w:rsid w:val="112607DF"/>
    <w:rsid w:val="11290C5D"/>
    <w:rsid w:val="11822ED6"/>
    <w:rsid w:val="11823EC9"/>
    <w:rsid w:val="11832A0D"/>
    <w:rsid w:val="11955A3F"/>
    <w:rsid w:val="119E4D7F"/>
    <w:rsid w:val="11A85821"/>
    <w:rsid w:val="11B20C52"/>
    <w:rsid w:val="11C113C0"/>
    <w:rsid w:val="11D32976"/>
    <w:rsid w:val="11FE3E97"/>
    <w:rsid w:val="124D2729"/>
    <w:rsid w:val="12513DB2"/>
    <w:rsid w:val="12525F91"/>
    <w:rsid w:val="12541D09"/>
    <w:rsid w:val="12771554"/>
    <w:rsid w:val="128D6FC9"/>
    <w:rsid w:val="12A174D9"/>
    <w:rsid w:val="12BB3AEE"/>
    <w:rsid w:val="12C22387"/>
    <w:rsid w:val="12DE5A77"/>
    <w:rsid w:val="12E34E3B"/>
    <w:rsid w:val="12E806A4"/>
    <w:rsid w:val="13232472"/>
    <w:rsid w:val="132B7C1A"/>
    <w:rsid w:val="13333D5C"/>
    <w:rsid w:val="134A0E6C"/>
    <w:rsid w:val="1356385F"/>
    <w:rsid w:val="13600912"/>
    <w:rsid w:val="1381624B"/>
    <w:rsid w:val="139448FE"/>
    <w:rsid w:val="139D4FEA"/>
    <w:rsid w:val="13C058C2"/>
    <w:rsid w:val="13C76C24"/>
    <w:rsid w:val="13C92805"/>
    <w:rsid w:val="13D65FBA"/>
    <w:rsid w:val="13EC2C3C"/>
    <w:rsid w:val="13FC4407"/>
    <w:rsid w:val="140D4D26"/>
    <w:rsid w:val="14134EBE"/>
    <w:rsid w:val="141C0605"/>
    <w:rsid w:val="141D6C2E"/>
    <w:rsid w:val="14221993"/>
    <w:rsid w:val="142349D9"/>
    <w:rsid w:val="143E065B"/>
    <w:rsid w:val="1444680B"/>
    <w:rsid w:val="1448764C"/>
    <w:rsid w:val="1468384A"/>
    <w:rsid w:val="14754476"/>
    <w:rsid w:val="14A163FB"/>
    <w:rsid w:val="14A3498E"/>
    <w:rsid w:val="14B41379"/>
    <w:rsid w:val="14C111C1"/>
    <w:rsid w:val="14C30A80"/>
    <w:rsid w:val="14C91E0F"/>
    <w:rsid w:val="14CF3EBF"/>
    <w:rsid w:val="14E82E36"/>
    <w:rsid w:val="14EA0703"/>
    <w:rsid w:val="14EF1875"/>
    <w:rsid w:val="14F03904"/>
    <w:rsid w:val="14F13FA3"/>
    <w:rsid w:val="1505553D"/>
    <w:rsid w:val="152431DC"/>
    <w:rsid w:val="153059CB"/>
    <w:rsid w:val="154D47EE"/>
    <w:rsid w:val="15766A20"/>
    <w:rsid w:val="15815AD7"/>
    <w:rsid w:val="159413D1"/>
    <w:rsid w:val="15A24B3A"/>
    <w:rsid w:val="15E67FD9"/>
    <w:rsid w:val="15E96C0C"/>
    <w:rsid w:val="15EE7D7F"/>
    <w:rsid w:val="16181C84"/>
    <w:rsid w:val="163C4F8E"/>
    <w:rsid w:val="163F05DA"/>
    <w:rsid w:val="164141C6"/>
    <w:rsid w:val="164877A8"/>
    <w:rsid w:val="164A7926"/>
    <w:rsid w:val="167364D6"/>
    <w:rsid w:val="16797F90"/>
    <w:rsid w:val="167A1613"/>
    <w:rsid w:val="168076A6"/>
    <w:rsid w:val="169A1CB5"/>
    <w:rsid w:val="16B31A52"/>
    <w:rsid w:val="16B40FC8"/>
    <w:rsid w:val="16BE3BF5"/>
    <w:rsid w:val="16C3745D"/>
    <w:rsid w:val="16C87F40"/>
    <w:rsid w:val="16DA247E"/>
    <w:rsid w:val="16E97372"/>
    <w:rsid w:val="16ED6288"/>
    <w:rsid w:val="16F24172"/>
    <w:rsid w:val="17015DB5"/>
    <w:rsid w:val="17041636"/>
    <w:rsid w:val="172C7EFB"/>
    <w:rsid w:val="17303F55"/>
    <w:rsid w:val="1737173B"/>
    <w:rsid w:val="17494AB3"/>
    <w:rsid w:val="174F0CF1"/>
    <w:rsid w:val="175475E3"/>
    <w:rsid w:val="17555BDC"/>
    <w:rsid w:val="178D5376"/>
    <w:rsid w:val="17A80401"/>
    <w:rsid w:val="17AC7EF2"/>
    <w:rsid w:val="17AD16C5"/>
    <w:rsid w:val="17C14CBA"/>
    <w:rsid w:val="17C2636B"/>
    <w:rsid w:val="17D17958"/>
    <w:rsid w:val="17E53F79"/>
    <w:rsid w:val="17F06064"/>
    <w:rsid w:val="17F83137"/>
    <w:rsid w:val="180169FF"/>
    <w:rsid w:val="181F6915"/>
    <w:rsid w:val="18473F8A"/>
    <w:rsid w:val="185F4F64"/>
    <w:rsid w:val="186662F2"/>
    <w:rsid w:val="18814EDA"/>
    <w:rsid w:val="18822A00"/>
    <w:rsid w:val="18846779"/>
    <w:rsid w:val="188744BB"/>
    <w:rsid w:val="189310B2"/>
    <w:rsid w:val="189A15F3"/>
    <w:rsid w:val="189D783A"/>
    <w:rsid w:val="189E7349"/>
    <w:rsid w:val="18A1557C"/>
    <w:rsid w:val="18A8690B"/>
    <w:rsid w:val="18AC5CCF"/>
    <w:rsid w:val="18AF5699"/>
    <w:rsid w:val="18BB7EB4"/>
    <w:rsid w:val="18BD3CED"/>
    <w:rsid w:val="18C86435"/>
    <w:rsid w:val="18CA6653"/>
    <w:rsid w:val="18D94D16"/>
    <w:rsid w:val="18EB3CCC"/>
    <w:rsid w:val="18EB4A4A"/>
    <w:rsid w:val="18ED14A8"/>
    <w:rsid w:val="18FF04F5"/>
    <w:rsid w:val="19194749"/>
    <w:rsid w:val="192057C7"/>
    <w:rsid w:val="19214221"/>
    <w:rsid w:val="1922346A"/>
    <w:rsid w:val="193E726F"/>
    <w:rsid w:val="195D4CFF"/>
    <w:rsid w:val="19634A68"/>
    <w:rsid w:val="196640D0"/>
    <w:rsid w:val="197E5373"/>
    <w:rsid w:val="198C16D7"/>
    <w:rsid w:val="19A5109C"/>
    <w:rsid w:val="19B60BB4"/>
    <w:rsid w:val="19BB1D72"/>
    <w:rsid w:val="19D1246C"/>
    <w:rsid w:val="19E73463"/>
    <w:rsid w:val="19FC4B99"/>
    <w:rsid w:val="19FC61C0"/>
    <w:rsid w:val="1A1B3CB7"/>
    <w:rsid w:val="1A1B7BB6"/>
    <w:rsid w:val="1A226249"/>
    <w:rsid w:val="1A293A7B"/>
    <w:rsid w:val="1A3037D9"/>
    <w:rsid w:val="1A427337"/>
    <w:rsid w:val="1A4D304A"/>
    <w:rsid w:val="1A872550"/>
    <w:rsid w:val="1A973860"/>
    <w:rsid w:val="1AAC4747"/>
    <w:rsid w:val="1ABF7F3C"/>
    <w:rsid w:val="1AD35795"/>
    <w:rsid w:val="1ADD03C2"/>
    <w:rsid w:val="1ADE2E2C"/>
    <w:rsid w:val="1AE83392"/>
    <w:rsid w:val="1AEB0D31"/>
    <w:rsid w:val="1B027F11"/>
    <w:rsid w:val="1B0911B7"/>
    <w:rsid w:val="1B0D2F19"/>
    <w:rsid w:val="1B341875"/>
    <w:rsid w:val="1B430B6D"/>
    <w:rsid w:val="1B687E8A"/>
    <w:rsid w:val="1B71796D"/>
    <w:rsid w:val="1BA23AE5"/>
    <w:rsid w:val="1BA8764B"/>
    <w:rsid w:val="1BB83309"/>
    <w:rsid w:val="1BBC26CD"/>
    <w:rsid w:val="1BBC447B"/>
    <w:rsid w:val="1BC670A8"/>
    <w:rsid w:val="1BCC1F7B"/>
    <w:rsid w:val="1BE55780"/>
    <w:rsid w:val="1BE87389"/>
    <w:rsid w:val="1BEC2FB3"/>
    <w:rsid w:val="1BEF2D2A"/>
    <w:rsid w:val="1C066B60"/>
    <w:rsid w:val="1C1F340D"/>
    <w:rsid w:val="1C2A3ADB"/>
    <w:rsid w:val="1C2A6A83"/>
    <w:rsid w:val="1C41419F"/>
    <w:rsid w:val="1C4306F9"/>
    <w:rsid w:val="1C496E68"/>
    <w:rsid w:val="1C4A7CD9"/>
    <w:rsid w:val="1C4C3D7B"/>
    <w:rsid w:val="1C4F4890"/>
    <w:rsid w:val="1C730E2E"/>
    <w:rsid w:val="1C971DFE"/>
    <w:rsid w:val="1C9803B5"/>
    <w:rsid w:val="1C9D42AD"/>
    <w:rsid w:val="1CB25FAA"/>
    <w:rsid w:val="1CCF0200"/>
    <w:rsid w:val="1CF30825"/>
    <w:rsid w:val="1CFB0451"/>
    <w:rsid w:val="1D007944"/>
    <w:rsid w:val="1D0C0E29"/>
    <w:rsid w:val="1D1A7BEF"/>
    <w:rsid w:val="1D1D6EB8"/>
    <w:rsid w:val="1D2D32E3"/>
    <w:rsid w:val="1D2E13A9"/>
    <w:rsid w:val="1D395A93"/>
    <w:rsid w:val="1D641A1A"/>
    <w:rsid w:val="1D724FC4"/>
    <w:rsid w:val="1D7F39B2"/>
    <w:rsid w:val="1D8800F7"/>
    <w:rsid w:val="1D96649B"/>
    <w:rsid w:val="1D9827DD"/>
    <w:rsid w:val="1D9B10C8"/>
    <w:rsid w:val="1DA13929"/>
    <w:rsid w:val="1DBC69B5"/>
    <w:rsid w:val="1DC615E1"/>
    <w:rsid w:val="1DD71A40"/>
    <w:rsid w:val="1DEA52D0"/>
    <w:rsid w:val="1DF5197B"/>
    <w:rsid w:val="1DFE6553"/>
    <w:rsid w:val="1E055523"/>
    <w:rsid w:val="1E214A6A"/>
    <w:rsid w:val="1E2527AC"/>
    <w:rsid w:val="1E3E73CA"/>
    <w:rsid w:val="1E820E05"/>
    <w:rsid w:val="1E83431D"/>
    <w:rsid w:val="1E847375"/>
    <w:rsid w:val="1E880A02"/>
    <w:rsid w:val="1E8D7EF7"/>
    <w:rsid w:val="1E9E2F42"/>
    <w:rsid w:val="1E9E60BA"/>
    <w:rsid w:val="1EA600F2"/>
    <w:rsid w:val="1EB02141"/>
    <w:rsid w:val="1ED02286"/>
    <w:rsid w:val="1F204D21"/>
    <w:rsid w:val="1F2760B0"/>
    <w:rsid w:val="1F2D7B6A"/>
    <w:rsid w:val="1F3B5CD1"/>
    <w:rsid w:val="1F7C464D"/>
    <w:rsid w:val="1F8350EC"/>
    <w:rsid w:val="1F907DB7"/>
    <w:rsid w:val="1FC658C9"/>
    <w:rsid w:val="1FD60202"/>
    <w:rsid w:val="1FDE0E64"/>
    <w:rsid w:val="1FE346CD"/>
    <w:rsid w:val="1FE461F5"/>
    <w:rsid w:val="2000074B"/>
    <w:rsid w:val="2012701E"/>
    <w:rsid w:val="201900EE"/>
    <w:rsid w:val="203365F1"/>
    <w:rsid w:val="203564EB"/>
    <w:rsid w:val="20381DB9"/>
    <w:rsid w:val="2058366E"/>
    <w:rsid w:val="205B0707"/>
    <w:rsid w:val="207500F4"/>
    <w:rsid w:val="20784E15"/>
    <w:rsid w:val="20A53730"/>
    <w:rsid w:val="20A756FA"/>
    <w:rsid w:val="20B61DE1"/>
    <w:rsid w:val="20E701EC"/>
    <w:rsid w:val="20E92B59"/>
    <w:rsid w:val="20F16975"/>
    <w:rsid w:val="21042B4C"/>
    <w:rsid w:val="2105631A"/>
    <w:rsid w:val="21283826"/>
    <w:rsid w:val="21463165"/>
    <w:rsid w:val="215C0D30"/>
    <w:rsid w:val="215F38DA"/>
    <w:rsid w:val="215F754D"/>
    <w:rsid w:val="2164183D"/>
    <w:rsid w:val="216D06F2"/>
    <w:rsid w:val="21713EAC"/>
    <w:rsid w:val="2181419D"/>
    <w:rsid w:val="21A730BD"/>
    <w:rsid w:val="21A77AE0"/>
    <w:rsid w:val="21BF689B"/>
    <w:rsid w:val="21C36564"/>
    <w:rsid w:val="21C85928"/>
    <w:rsid w:val="21E12E8E"/>
    <w:rsid w:val="21E8615A"/>
    <w:rsid w:val="21ED538F"/>
    <w:rsid w:val="21ED5A20"/>
    <w:rsid w:val="21FC4C25"/>
    <w:rsid w:val="22010E3A"/>
    <w:rsid w:val="22031056"/>
    <w:rsid w:val="22085E90"/>
    <w:rsid w:val="2210107D"/>
    <w:rsid w:val="22124DF5"/>
    <w:rsid w:val="222E616C"/>
    <w:rsid w:val="22326947"/>
    <w:rsid w:val="223C6316"/>
    <w:rsid w:val="224C47AB"/>
    <w:rsid w:val="225B2C40"/>
    <w:rsid w:val="22620514"/>
    <w:rsid w:val="226E2973"/>
    <w:rsid w:val="22765CAC"/>
    <w:rsid w:val="227B6E3E"/>
    <w:rsid w:val="227E06DD"/>
    <w:rsid w:val="22944051"/>
    <w:rsid w:val="229B4DEB"/>
    <w:rsid w:val="229D0535"/>
    <w:rsid w:val="22CD3AFB"/>
    <w:rsid w:val="22D16A5E"/>
    <w:rsid w:val="22EC3898"/>
    <w:rsid w:val="22FE22DC"/>
    <w:rsid w:val="22FF7A6F"/>
    <w:rsid w:val="230213B5"/>
    <w:rsid w:val="230E638A"/>
    <w:rsid w:val="23307457"/>
    <w:rsid w:val="23321324"/>
    <w:rsid w:val="234027B7"/>
    <w:rsid w:val="23403BE4"/>
    <w:rsid w:val="234F6FBC"/>
    <w:rsid w:val="237C7E59"/>
    <w:rsid w:val="238947C4"/>
    <w:rsid w:val="238D4080"/>
    <w:rsid w:val="23A10B26"/>
    <w:rsid w:val="23A44173"/>
    <w:rsid w:val="23AE6D9F"/>
    <w:rsid w:val="23B32608"/>
    <w:rsid w:val="23B736D0"/>
    <w:rsid w:val="23C81BD7"/>
    <w:rsid w:val="23D47C42"/>
    <w:rsid w:val="23F52C20"/>
    <w:rsid w:val="23FB1052"/>
    <w:rsid w:val="240115C5"/>
    <w:rsid w:val="24125580"/>
    <w:rsid w:val="24173588"/>
    <w:rsid w:val="24250AD5"/>
    <w:rsid w:val="242B4894"/>
    <w:rsid w:val="242D417B"/>
    <w:rsid w:val="24547947"/>
    <w:rsid w:val="247728DD"/>
    <w:rsid w:val="2480073C"/>
    <w:rsid w:val="248F5884"/>
    <w:rsid w:val="24A36849"/>
    <w:rsid w:val="24AA1A26"/>
    <w:rsid w:val="24B228BF"/>
    <w:rsid w:val="24BE7B54"/>
    <w:rsid w:val="24E27F4D"/>
    <w:rsid w:val="24E30CCB"/>
    <w:rsid w:val="24EC30C3"/>
    <w:rsid w:val="24EE1B49"/>
    <w:rsid w:val="24F363FF"/>
    <w:rsid w:val="24FF2AA0"/>
    <w:rsid w:val="25184E18"/>
    <w:rsid w:val="252C2672"/>
    <w:rsid w:val="252E0198"/>
    <w:rsid w:val="254E4279"/>
    <w:rsid w:val="25535E50"/>
    <w:rsid w:val="255676EF"/>
    <w:rsid w:val="256A3906"/>
    <w:rsid w:val="25733194"/>
    <w:rsid w:val="257B7155"/>
    <w:rsid w:val="258C4EBE"/>
    <w:rsid w:val="259A7CEF"/>
    <w:rsid w:val="25DD44E2"/>
    <w:rsid w:val="25E116AE"/>
    <w:rsid w:val="25F72C80"/>
    <w:rsid w:val="260D3E1A"/>
    <w:rsid w:val="26103A2C"/>
    <w:rsid w:val="26103D41"/>
    <w:rsid w:val="261A25B2"/>
    <w:rsid w:val="261E020C"/>
    <w:rsid w:val="26215F4F"/>
    <w:rsid w:val="26414749"/>
    <w:rsid w:val="26437C73"/>
    <w:rsid w:val="264627A8"/>
    <w:rsid w:val="26594A5E"/>
    <w:rsid w:val="265C28D9"/>
    <w:rsid w:val="269811C6"/>
    <w:rsid w:val="26A526DC"/>
    <w:rsid w:val="26BE1D26"/>
    <w:rsid w:val="26CB319B"/>
    <w:rsid w:val="26D47E46"/>
    <w:rsid w:val="26D905D7"/>
    <w:rsid w:val="26E320E4"/>
    <w:rsid w:val="26EB0A53"/>
    <w:rsid w:val="26FB2E83"/>
    <w:rsid w:val="27037402"/>
    <w:rsid w:val="27090501"/>
    <w:rsid w:val="2714723A"/>
    <w:rsid w:val="27286E69"/>
    <w:rsid w:val="274F0899"/>
    <w:rsid w:val="275E7F6D"/>
    <w:rsid w:val="27617694"/>
    <w:rsid w:val="27675BE3"/>
    <w:rsid w:val="277B168E"/>
    <w:rsid w:val="27906EE8"/>
    <w:rsid w:val="27943255"/>
    <w:rsid w:val="279B3ADF"/>
    <w:rsid w:val="27A06A23"/>
    <w:rsid w:val="27BB7CDD"/>
    <w:rsid w:val="27D03788"/>
    <w:rsid w:val="27E13199"/>
    <w:rsid w:val="27FC4E6B"/>
    <w:rsid w:val="28075A4A"/>
    <w:rsid w:val="2829733C"/>
    <w:rsid w:val="283D093C"/>
    <w:rsid w:val="284303FE"/>
    <w:rsid w:val="284D4DD9"/>
    <w:rsid w:val="285E6FE6"/>
    <w:rsid w:val="286914E7"/>
    <w:rsid w:val="288E2E0A"/>
    <w:rsid w:val="28A8372E"/>
    <w:rsid w:val="28A95D87"/>
    <w:rsid w:val="28AC1C36"/>
    <w:rsid w:val="28B430AA"/>
    <w:rsid w:val="28B5472C"/>
    <w:rsid w:val="28B9246E"/>
    <w:rsid w:val="28E60D8A"/>
    <w:rsid w:val="28E67BEF"/>
    <w:rsid w:val="28F039B6"/>
    <w:rsid w:val="29037B8D"/>
    <w:rsid w:val="292B4F4D"/>
    <w:rsid w:val="294837F2"/>
    <w:rsid w:val="29514447"/>
    <w:rsid w:val="297F5D39"/>
    <w:rsid w:val="29852351"/>
    <w:rsid w:val="29921F4F"/>
    <w:rsid w:val="29934A6D"/>
    <w:rsid w:val="29A30A29"/>
    <w:rsid w:val="29A9603F"/>
    <w:rsid w:val="29B57DD0"/>
    <w:rsid w:val="29B70900"/>
    <w:rsid w:val="29BE0CD5"/>
    <w:rsid w:val="29C70BBB"/>
    <w:rsid w:val="29D53CAE"/>
    <w:rsid w:val="29DB0524"/>
    <w:rsid w:val="29EE6148"/>
    <w:rsid w:val="29F4515F"/>
    <w:rsid w:val="29FF3DD6"/>
    <w:rsid w:val="2A027E45"/>
    <w:rsid w:val="2A096A16"/>
    <w:rsid w:val="2A2A36FF"/>
    <w:rsid w:val="2A5C6179"/>
    <w:rsid w:val="2A5E4139"/>
    <w:rsid w:val="2A74493C"/>
    <w:rsid w:val="2A75089E"/>
    <w:rsid w:val="2A851B58"/>
    <w:rsid w:val="2A8647FB"/>
    <w:rsid w:val="2A930540"/>
    <w:rsid w:val="2A9767DF"/>
    <w:rsid w:val="2AA36405"/>
    <w:rsid w:val="2AB16EBF"/>
    <w:rsid w:val="2AB27175"/>
    <w:rsid w:val="2ACF4E96"/>
    <w:rsid w:val="2ADC2444"/>
    <w:rsid w:val="2ADD38D1"/>
    <w:rsid w:val="2AE1684B"/>
    <w:rsid w:val="2AE6612C"/>
    <w:rsid w:val="2AE7493C"/>
    <w:rsid w:val="2AE93303"/>
    <w:rsid w:val="2B0F176F"/>
    <w:rsid w:val="2B1C5C3D"/>
    <w:rsid w:val="2B232A0B"/>
    <w:rsid w:val="2B44339C"/>
    <w:rsid w:val="2B6B0C1C"/>
    <w:rsid w:val="2B817455"/>
    <w:rsid w:val="2B862712"/>
    <w:rsid w:val="2B896DD2"/>
    <w:rsid w:val="2B8A1EA0"/>
    <w:rsid w:val="2B8B39EE"/>
    <w:rsid w:val="2BA151C6"/>
    <w:rsid w:val="2BBB64FD"/>
    <w:rsid w:val="2BC505E0"/>
    <w:rsid w:val="2BC60535"/>
    <w:rsid w:val="2BE47E69"/>
    <w:rsid w:val="2BF13CCD"/>
    <w:rsid w:val="2C0A34F0"/>
    <w:rsid w:val="2C1300E8"/>
    <w:rsid w:val="2C234A71"/>
    <w:rsid w:val="2C2C11A9"/>
    <w:rsid w:val="2C3047F6"/>
    <w:rsid w:val="2C322462"/>
    <w:rsid w:val="2C4955D9"/>
    <w:rsid w:val="2C4D17DC"/>
    <w:rsid w:val="2C6626F1"/>
    <w:rsid w:val="2C7240B0"/>
    <w:rsid w:val="2C750476"/>
    <w:rsid w:val="2C891E06"/>
    <w:rsid w:val="2C953396"/>
    <w:rsid w:val="2C9D3A89"/>
    <w:rsid w:val="2C9D5C03"/>
    <w:rsid w:val="2CBE44F7"/>
    <w:rsid w:val="2CC807E2"/>
    <w:rsid w:val="2CD024F5"/>
    <w:rsid w:val="2CD258AD"/>
    <w:rsid w:val="2CD462B8"/>
    <w:rsid w:val="2CDA0C05"/>
    <w:rsid w:val="2D2105E2"/>
    <w:rsid w:val="2D3B7A88"/>
    <w:rsid w:val="2D453739"/>
    <w:rsid w:val="2D4744ED"/>
    <w:rsid w:val="2D5D48D9"/>
    <w:rsid w:val="2D6D3891"/>
    <w:rsid w:val="2D7503AA"/>
    <w:rsid w:val="2D872B3B"/>
    <w:rsid w:val="2D8D5C78"/>
    <w:rsid w:val="2D9E7E85"/>
    <w:rsid w:val="2DAB007F"/>
    <w:rsid w:val="2DC5741E"/>
    <w:rsid w:val="2DC75B04"/>
    <w:rsid w:val="2DD92C6B"/>
    <w:rsid w:val="2DDB2E9D"/>
    <w:rsid w:val="2DDD09AD"/>
    <w:rsid w:val="2E112096"/>
    <w:rsid w:val="2E1469B1"/>
    <w:rsid w:val="2E340EFE"/>
    <w:rsid w:val="2E3A0D95"/>
    <w:rsid w:val="2E6B5FB9"/>
    <w:rsid w:val="2E6C7C0B"/>
    <w:rsid w:val="2E7100B7"/>
    <w:rsid w:val="2E894691"/>
    <w:rsid w:val="2E9272DD"/>
    <w:rsid w:val="2E9372BE"/>
    <w:rsid w:val="2E9877F8"/>
    <w:rsid w:val="2E9A064C"/>
    <w:rsid w:val="2EA9088F"/>
    <w:rsid w:val="2EAE6B15"/>
    <w:rsid w:val="2EE301CE"/>
    <w:rsid w:val="2F0C46EC"/>
    <w:rsid w:val="2F123A35"/>
    <w:rsid w:val="2F1424EE"/>
    <w:rsid w:val="2F1E6268"/>
    <w:rsid w:val="2F2B2677"/>
    <w:rsid w:val="2F2E76D1"/>
    <w:rsid w:val="2F353604"/>
    <w:rsid w:val="2F3918C8"/>
    <w:rsid w:val="2F3E547B"/>
    <w:rsid w:val="2F601896"/>
    <w:rsid w:val="2F66561C"/>
    <w:rsid w:val="2F8465C8"/>
    <w:rsid w:val="2F860BD2"/>
    <w:rsid w:val="2F94153F"/>
    <w:rsid w:val="2F9E25C8"/>
    <w:rsid w:val="2FA23C5C"/>
    <w:rsid w:val="2FAB7D1C"/>
    <w:rsid w:val="2FAE3D20"/>
    <w:rsid w:val="2FB3010E"/>
    <w:rsid w:val="2FC00C32"/>
    <w:rsid w:val="2FC02334"/>
    <w:rsid w:val="2FCF2577"/>
    <w:rsid w:val="2FE83639"/>
    <w:rsid w:val="2FF14128"/>
    <w:rsid w:val="2FF4252A"/>
    <w:rsid w:val="30067369"/>
    <w:rsid w:val="30156509"/>
    <w:rsid w:val="30182170"/>
    <w:rsid w:val="301F2021"/>
    <w:rsid w:val="30201025"/>
    <w:rsid w:val="306F7B47"/>
    <w:rsid w:val="30750EE5"/>
    <w:rsid w:val="308B0B94"/>
    <w:rsid w:val="30AA4BDA"/>
    <w:rsid w:val="30B5421D"/>
    <w:rsid w:val="30B71ED4"/>
    <w:rsid w:val="30BA4FD6"/>
    <w:rsid w:val="30CA2D65"/>
    <w:rsid w:val="30FA1876"/>
    <w:rsid w:val="3103697D"/>
    <w:rsid w:val="31124E12"/>
    <w:rsid w:val="311961A0"/>
    <w:rsid w:val="311B27B2"/>
    <w:rsid w:val="314B13FB"/>
    <w:rsid w:val="315C608D"/>
    <w:rsid w:val="316714F6"/>
    <w:rsid w:val="316D2048"/>
    <w:rsid w:val="319C1E30"/>
    <w:rsid w:val="31BA758E"/>
    <w:rsid w:val="31CC4FC0"/>
    <w:rsid w:val="31D75713"/>
    <w:rsid w:val="32040ACA"/>
    <w:rsid w:val="320F4EAD"/>
    <w:rsid w:val="321E1594"/>
    <w:rsid w:val="322546D1"/>
    <w:rsid w:val="32291836"/>
    <w:rsid w:val="32326E02"/>
    <w:rsid w:val="323B21C5"/>
    <w:rsid w:val="32917FB8"/>
    <w:rsid w:val="329B3EEE"/>
    <w:rsid w:val="329D070B"/>
    <w:rsid w:val="329D695D"/>
    <w:rsid w:val="32AE0B6A"/>
    <w:rsid w:val="32B31CDC"/>
    <w:rsid w:val="32B45DB6"/>
    <w:rsid w:val="32DA370D"/>
    <w:rsid w:val="32F96AA8"/>
    <w:rsid w:val="3307101E"/>
    <w:rsid w:val="331215BD"/>
    <w:rsid w:val="33317CF6"/>
    <w:rsid w:val="333D1567"/>
    <w:rsid w:val="33490893"/>
    <w:rsid w:val="33576B0C"/>
    <w:rsid w:val="335A484E"/>
    <w:rsid w:val="3369683F"/>
    <w:rsid w:val="338673F1"/>
    <w:rsid w:val="33893421"/>
    <w:rsid w:val="338A56D7"/>
    <w:rsid w:val="33947D60"/>
    <w:rsid w:val="33A350C8"/>
    <w:rsid w:val="33A37FA3"/>
    <w:rsid w:val="33AA597B"/>
    <w:rsid w:val="33C57F19"/>
    <w:rsid w:val="34127371"/>
    <w:rsid w:val="34140EA1"/>
    <w:rsid w:val="342767B2"/>
    <w:rsid w:val="342A2472"/>
    <w:rsid w:val="34385EC0"/>
    <w:rsid w:val="3447002F"/>
    <w:rsid w:val="344828F8"/>
    <w:rsid w:val="344F3C87"/>
    <w:rsid w:val="345217BD"/>
    <w:rsid w:val="345C0360"/>
    <w:rsid w:val="34607C42"/>
    <w:rsid w:val="34877E03"/>
    <w:rsid w:val="34A80A14"/>
    <w:rsid w:val="34BD32E6"/>
    <w:rsid w:val="34BD50C3"/>
    <w:rsid w:val="34EE16F2"/>
    <w:rsid w:val="34F767F8"/>
    <w:rsid w:val="352549E8"/>
    <w:rsid w:val="3534265B"/>
    <w:rsid w:val="353517F9"/>
    <w:rsid w:val="35411821"/>
    <w:rsid w:val="35417A73"/>
    <w:rsid w:val="354602F3"/>
    <w:rsid w:val="354632DC"/>
    <w:rsid w:val="35675000"/>
    <w:rsid w:val="356B689E"/>
    <w:rsid w:val="359C2EFC"/>
    <w:rsid w:val="35CB37E1"/>
    <w:rsid w:val="35D24DFD"/>
    <w:rsid w:val="35ED6FCC"/>
    <w:rsid w:val="35F66AB0"/>
    <w:rsid w:val="35FE5964"/>
    <w:rsid w:val="3604028D"/>
    <w:rsid w:val="36054F45"/>
    <w:rsid w:val="3607340D"/>
    <w:rsid w:val="360E7F58"/>
    <w:rsid w:val="361C39FF"/>
    <w:rsid w:val="3625486D"/>
    <w:rsid w:val="3632560E"/>
    <w:rsid w:val="363475D8"/>
    <w:rsid w:val="36384143"/>
    <w:rsid w:val="363934B9"/>
    <w:rsid w:val="36435A6D"/>
    <w:rsid w:val="36441C66"/>
    <w:rsid w:val="364A49F0"/>
    <w:rsid w:val="36592B9B"/>
    <w:rsid w:val="36714707"/>
    <w:rsid w:val="367D4026"/>
    <w:rsid w:val="36814164"/>
    <w:rsid w:val="36841E4E"/>
    <w:rsid w:val="36874AE5"/>
    <w:rsid w:val="36A06A1C"/>
    <w:rsid w:val="36C2724A"/>
    <w:rsid w:val="36E0727C"/>
    <w:rsid w:val="36E814C1"/>
    <w:rsid w:val="36F079A3"/>
    <w:rsid w:val="37164F30"/>
    <w:rsid w:val="372A07E8"/>
    <w:rsid w:val="37426579"/>
    <w:rsid w:val="37465815"/>
    <w:rsid w:val="374E0748"/>
    <w:rsid w:val="375159B4"/>
    <w:rsid w:val="376C1313"/>
    <w:rsid w:val="37712166"/>
    <w:rsid w:val="37940DC6"/>
    <w:rsid w:val="37A4253C"/>
    <w:rsid w:val="37AB5678"/>
    <w:rsid w:val="37BD7836"/>
    <w:rsid w:val="37BE766B"/>
    <w:rsid w:val="37D44822"/>
    <w:rsid w:val="37EA199E"/>
    <w:rsid w:val="37FC4126"/>
    <w:rsid w:val="37FE7E9E"/>
    <w:rsid w:val="38163439"/>
    <w:rsid w:val="3832677D"/>
    <w:rsid w:val="38361BA7"/>
    <w:rsid w:val="384A30E3"/>
    <w:rsid w:val="3854293D"/>
    <w:rsid w:val="386849A4"/>
    <w:rsid w:val="388B14B0"/>
    <w:rsid w:val="38C764E2"/>
    <w:rsid w:val="38CF550D"/>
    <w:rsid w:val="38D01567"/>
    <w:rsid w:val="38E56968"/>
    <w:rsid w:val="38E86458"/>
    <w:rsid w:val="39072D82"/>
    <w:rsid w:val="39074B30"/>
    <w:rsid w:val="390933CD"/>
    <w:rsid w:val="391A2AB5"/>
    <w:rsid w:val="391D07F7"/>
    <w:rsid w:val="391F477E"/>
    <w:rsid w:val="39275BDA"/>
    <w:rsid w:val="39292CF8"/>
    <w:rsid w:val="392A77B7"/>
    <w:rsid w:val="3948040A"/>
    <w:rsid w:val="394F178F"/>
    <w:rsid w:val="397A7B42"/>
    <w:rsid w:val="39861EF9"/>
    <w:rsid w:val="39870B6F"/>
    <w:rsid w:val="39955AAE"/>
    <w:rsid w:val="39B5767A"/>
    <w:rsid w:val="39B602FC"/>
    <w:rsid w:val="39BD651B"/>
    <w:rsid w:val="39C34D75"/>
    <w:rsid w:val="39D52E80"/>
    <w:rsid w:val="3A0049FA"/>
    <w:rsid w:val="3A271832"/>
    <w:rsid w:val="3A345DF9"/>
    <w:rsid w:val="3A347BA7"/>
    <w:rsid w:val="3A5169AB"/>
    <w:rsid w:val="3A575643"/>
    <w:rsid w:val="3A5B6910"/>
    <w:rsid w:val="3A685AA2"/>
    <w:rsid w:val="3A865F28"/>
    <w:rsid w:val="3A904EB2"/>
    <w:rsid w:val="3AC557D1"/>
    <w:rsid w:val="3ADC3D9A"/>
    <w:rsid w:val="3ADF0126"/>
    <w:rsid w:val="3AE02795"/>
    <w:rsid w:val="3AE0388B"/>
    <w:rsid w:val="3AE3337B"/>
    <w:rsid w:val="3AEE1217"/>
    <w:rsid w:val="3AF14109"/>
    <w:rsid w:val="3B20012B"/>
    <w:rsid w:val="3B2F65C0"/>
    <w:rsid w:val="3B350E5B"/>
    <w:rsid w:val="3B4813D0"/>
    <w:rsid w:val="3B750477"/>
    <w:rsid w:val="3B90632F"/>
    <w:rsid w:val="3B912DD7"/>
    <w:rsid w:val="3BB148E9"/>
    <w:rsid w:val="3BB224BC"/>
    <w:rsid w:val="3BB80364"/>
    <w:rsid w:val="3BBF7944"/>
    <w:rsid w:val="3BD3519D"/>
    <w:rsid w:val="3BDD7DCA"/>
    <w:rsid w:val="3C026E8F"/>
    <w:rsid w:val="3C040335"/>
    <w:rsid w:val="3C0B4755"/>
    <w:rsid w:val="3C125CC6"/>
    <w:rsid w:val="3C2E6878"/>
    <w:rsid w:val="3C31445F"/>
    <w:rsid w:val="3C3166F5"/>
    <w:rsid w:val="3C4C6612"/>
    <w:rsid w:val="3C8318FD"/>
    <w:rsid w:val="3C90587B"/>
    <w:rsid w:val="3C97266F"/>
    <w:rsid w:val="3CA95149"/>
    <w:rsid w:val="3CAB7EC8"/>
    <w:rsid w:val="3CC34D30"/>
    <w:rsid w:val="3CDB2AE0"/>
    <w:rsid w:val="3CE84C78"/>
    <w:rsid w:val="3CEF24AB"/>
    <w:rsid w:val="3CFA5349"/>
    <w:rsid w:val="3CFA703C"/>
    <w:rsid w:val="3D00329B"/>
    <w:rsid w:val="3D093B3B"/>
    <w:rsid w:val="3D0977BB"/>
    <w:rsid w:val="3D0A4BEF"/>
    <w:rsid w:val="3D182F82"/>
    <w:rsid w:val="3D246119"/>
    <w:rsid w:val="3D324951"/>
    <w:rsid w:val="3D3E0D3C"/>
    <w:rsid w:val="3D472328"/>
    <w:rsid w:val="3D54230E"/>
    <w:rsid w:val="3D714C6E"/>
    <w:rsid w:val="3D791099"/>
    <w:rsid w:val="3DA146AE"/>
    <w:rsid w:val="3DAE6EF9"/>
    <w:rsid w:val="3DC15C11"/>
    <w:rsid w:val="3DD05E38"/>
    <w:rsid w:val="3DD365AF"/>
    <w:rsid w:val="3DEB2C72"/>
    <w:rsid w:val="3DF00CDD"/>
    <w:rsid w:val="3DF5589F"/>
    <w:rsid w:val="3E467DCB"/>
    <w:rsid w:val="3E483C21"/>
    <w:rsid w:val="3E6A24AA"/>
    <w:rsid w:val="3E7964D0"/>
    <w:rsid w:val="3E7B7FC4"/>
    <w:rsid w:val="3E80523B"/>
    <w:rsid w:val="3E8A1E51"/>
    <w:rsid w:val="3E901F80"/>
    <w:rsid w:val="3E913D0C"/>
    <w:rsid w:val="3E9C21BE"/>
    <w:rsid w:val="3E9E4502"/>
    <w:rsid w:val="3EA572C5"/>
    <w:rsid w:val="3EA8281B"/>
    <w:rsid w:val="3ED161B3"/>
    <w:rsid w:val="3EEC4865"/>
    <w:rsid w:val="3EFD0EAF"/>
    <w:rsid w:val="3F5E6AD3"/>
    <w:rsid w:val="3F6C2DF4"/>
    <w:rsid w:val="3F7722E4"/>
    <w:rsid w:val="3F9E48B5"/>
    <w:rsid w:val="3FAA4467"/>
    <w:rsid w:val="3FAC590D"/>
    <w:rsid w:val="3FBA57AE"/>
    <w:rsid w:val="3FBD419A"/>
    <w:rsid w:val="3FC512A1"/>
    <w:rsid w:val="3FE70240"/>
    <w:rsid w:val="3FE93D39"/>
    <w:rsid w:val="402B4A0B"/>
    <w:rsid w:val="40555A03"/>
    <w:rsid w:val="40577C72"/>
    <w:rsid w:val="4064760C"/>
    <w:rsid w:val="407F0314"/>
    <w:rsid w:val="40856D39"/>
    <w:rsid w:val="40891E35"/>
    <w:rsid w:val="409969B6"/>
    <w:rsid w:val="40A13ABC"/>
    <w:rsid w:val="40B3559D"/>
    <w:rsid w:val="40BB5FF7"/>
    <w:rsid w:val="40C160DA"/>
    <w:rsid w:val="40C16839"/>
    <w:rsid w:val="40C94DC1"/>
    <w:rsid w:val="40D45C40"/>
    <w:rsid w:val="40DD0907"/>
    <w:rsid w:val="40E8793D"/>
    <w:rsid w:val="40E907ED"/>
    <w:rsid w:val="41021BD1"/>
    <w:rsid w:val="414A7C50"/>
    <w:rsid w:val="41590C35"/>
    <w:rsid w:val="41621B6F"/>
    <w:rsid w:val="417C0ECF"/>
    <w:rsid w:val="418408ED"/>
    <w:rsid w:val="418B7876"/>
    <w:rsid w:val="41A41AB6"/>
    <w:rsid w:val="41AA66E7"/>
    <w:rsid w:val="41CF0517"/>
    <w:rsid w:val="41D12BD5"/>
    <w:rsid w:val="41E2438C"/>
    <w:rsid w:val="41F540C0"/>
    <w:rsid w:val="41F77889"/>
    <w:rsid w:val="41F94974"/>
    <w:rsid w:val="421F113C"/>
    <w:rsid w:val="423746D8"/>
    <w:rsid w:val="42450714"/>
    <w:rsid w:val="424714E0"/>
    <w:rsid w:val="424830B0"/>
    <w:rsid w:val="42624A88"/>
    <w:rsid w:val="426D00FA"/>
    <w:rsid w:val="428E0070"/>
    <w:rsid w:val="428E7905"/>
    <w:rsid w:val="429F402B"/>
    <w:rsid w:val="42C4154D"/>
    <w:rsid w:val="42C41CE4"/>
    <w:rsid w:val="42D7132C"/>
    <w:rsid w:val="43050A0E"/>
    <w:rsid w:val="4312678C"/>
    <w:rsid w:val="4320776A"/>
    <w:rsid w:val="432E7027"/>
    <w:rsid w:val="43362BE2"/>
    <w:rsid w:val="4346094B"/>
    <w:rsid w:val="43527793"/>
    <w:rsid w:val="43560B8E"/>
    <w:rsid w:val="437A6282"/>
    <w:rsid w:val="438374A9"/>
    <w:rsid w:val="43880F63"/>
    <w:rsid w:val="439E7D28"/>
    <w:rsid w:val="43A062AD"/>
    <w:rsid w:val="43C85AEE"/>
    <w:rsid w:val="43D353AE"/>
    <w:rsid w:val="43D9356D"/>
    <w:rsid w:val="43D9531B"/>
    <w:rsid w:val="43E53CC0"/>
    <w:rsid w:val="43FF144C"/>
    <w:rsid w:val="441910DB"/>
    <w:rsid w:val="442C18EF"/>
    <w:rsid w:val="443C29DD"/>
    <w:rsid w:val="443F1622"/>
    <w:rsid w:val="444D17C3"/>
    <w:rsid w:val="446E0159"/>
    <w:rsid w:val="447D65EE"/>
    <w:rsid w:val="449F0313"/>
    <w:rsid w:val="44A46297"/>
    <w:rsid w:val="44C201D4"/>
    <w:rsid w:val="44E177B9"/>
    <w:rsid w:val="44EC4671"/>
    <w:rsid w:val="44EE266C"/>
    <w:rsid w:val="44FD2E4D"/>
    <w:rsid w:val="4508235C"/>
    <w:rsid w:val="450F5BA1"/>
    <w:rsid w:val="451A1EF5"/>
    <w:rsid w:val="452E2BA5"/>
    <w:rsid w:val="453413AE"/>
    <w:rsid w:val="45440EBA"/>
    <w:rsid w:val="4557299B"/>
    <w:rsid w:val="456B4699"/>
    <w:rsid w:val="458215B9"/>
    <w:rsid w:val="459A4484"/>
    <w:rsid w:val="45BB5620"/>
    <w:rsid w:val="45C30031"/>
    <w:rsid w:val="45C81AEB"/>
    <w:rsid w:val="45CC3389"/>
    <w:rsid w:val="45D6072E"/>
    <w:rsid w:val="45D77B37"/>
    <w:rsid w:val="45F72594"/>
    <w:rsid w:val="45F72DB4"/>
    <w:rsid w:val="460E2582"/>
    <w:rsid w:val="46357180"/>
    <w:rsid w:val="46366A55"/>
    <w:rsid w:val="463C4891"/>
    <w:rsid w:val="46492C2C"/>
    <w:rsid w:val="4652669D"/>
    <w:rsid w:val="4663559F"/>
    <w:rsid w:val="466752C6"/>
    <w:rsid w:val="46B8390E"/>
    <w:rsid w:val="46DE34D4"/>
    <w:rsid w:val="46E32213"/>
    <w:rsid w:val="47046B53"/>
    <w:rsid w:val="470B6133"/>
    <w:rsid w:val="470D1EAB"/>
    <w:rsid w:val="471374A2"/>
    <w:rsid w:val="473A2575"/>
    <w:rsid w:val="474F4272"/>
    <w:rsid w:val="475E2707"/>
    <w:rsid w:val="478657BA"/>
    <w:rsid w:val="47920C49"/>
    <w:rsid w:val="47947ED7"/>
    <w:rsid w:val="47A345BE"/>
    <w:rsid w:val="47AC3472"/>
    <w:rsid w:val="47AF1D37"/>
    <w:rsid w:val="47C14A44"/>
    <w:rsid w:val="47D76015"/>
    <w:rsid w:val="47EA0B93"/>
    <w:rsid w:val="47FD7804"/>
    <w:rsid w:val="480C0D42"/>
    <w:rsid w:val="480C4BCA"/>
    <w:rsid w:val="48123ED6"/>
    <w:rsid w:val="48206981"/>
    <w:rsid w:val="482777E3"/>
    <w:rsid w:val="48315F70"/>
    <w:rsid w:val="487B1097"/>
    <w:rsid w:val="48825F81"/>
    <w:rsid w:val="48BF5427"/>
    <w:rsid w:val="48CD7ECB"/>
    <w:rsid w:val="48D824C4"/>
    <w:rsid w:val="48FB5D34"/>
    <w:rsid w:val="49025314"/>
    <w:rsid w:val="49042FF5"/>
    <w:rsid w:val="49180694"/>
    <w:rsid w:val="491D214E"/>
    <w:rsid w:val="491D3EFC"/>
    <w:rsid w:val="49431BB4"/>
    <w:rsid w:val="497955D6"/>
    <w:rsid w:val="497A1852"/>
    <w:rsid w:val="498D249B"/>
    <w:rsid w:val="49956188"/>
    <w:rsid w:val="49A30276"/>
    <w:rsid w:val="49BC1967"/>
    <w:rsid w:val="49CD1C48"/>
    <w:rsid w:val="49E0433F"/>
    <w:rsid w:val="49E14F29"/>
    <w:rsid w:val="49FB4308"/>
    <w:rsid w:val="4A113A61"/>
    <w:rsid w:val="4A20251C"/>
    <w:rsid w:val="4A27193A"/>
    <w:rsid w:val="4A2B5B43"/>
    <w:rsid w:val="4A423587"/>
    <w:rsid w:val="4A5E657A"/>
    <w:rsid w:val="4A6F0787"/>
    <w:rsid w:val="4A767F31"/>
    <w:rsid w:val="4A823C27"/>
    <w:rsid w:val="4A830773"/>
    <w:rsid w:val="4AA4190C"/>
    <w:rsid w:val="4AB837AD"/>
    <w:rsid w:val="4ABD14F2"/>
    <w:rsid w:val="4AE922E8"/>
    <w:rsid w:val="4AF64A04"/>
    <w:rsid w:val="4B1A6945"/>
    <w:rsid w:val="4B2037F1"/>
    <w:rsid w:val="4B2E23F0"/>
    <w:rsid w:val="4B463B00"/>
    <w:rsid w:val="4B6A130B"/>
    <w:rsid w:val="4B72052F"/>
    <w:rsid w:val="4B756271"/>
    <w:rsid w:val="4B872A72"/>
    <w:rsid w:val="4B8827AA"/>
    <w:rsid w:val="4B8F5831"/>
    <w:rsid w:val="4BA33FD7"/>
    <w:rsid w:val="4BE21CDC"/>
    <w:rsid w:val="4BE60F1D"/>
    <w:rsid w:val="4BE6200A"/>
    <w:rsid w:val="4BEB208F"/>
    <w:rsid w:val="4C650094"/>
    <w:rsid w:val="4C663EC3"/>
    <w:rsid w:val="4C686721"/>
    <w:rsid w:val="4CA56024"/>
    <w:rsid w:val="4CBB5F06"/>
    <w:rsid w:val="4CE52F83"/>
    <w:rsid w:val="4CEE0089"/>
    <w:rsid w:val="4CFA6A2E"/>
    <w:rsid w:val="4D021D86"/>
    <w:rsid w:val="4D094961"/>
    <w:rsid w:val="4D0F61C4"/>
    <w:rsid w:val="4D2915D2"/>
    <w:rsid w:val="4D2E07E7"/>
    <w:rsid w:val="4D453602"/>
    <w:rsid w:val="4D6D0D6D"/>
    <w:rsid w:val="4D7A36CB"/>
    <w:rsid w:val="4D8B1D7C"/>
    <w:rsid w:val="4D956F89"/>
    <w:rsid w:val="4DBC3CE3"/>
    <w:rsid w:val="4DC91998"/>
    <w:rsid w:val="4DD3351B"/>
    <w:rsid w:val="4DF24973"/>
    <w:rsid w:val="4E056DCE"/>
    <w:rsid w:val="4E127DA7"/>
    <w:rsid w:val="4E173610"/>
    <w:rsid w:val="4E261E36"/>
    <w:rsid w:val="4E287413"/>
    <w:rsid w:val="4E3B7C91"/>
    <w:rsid w:val="4E3F7C2B"/>
    <w:rsid w:val="4E5B34FC"/>
    <w:rsid w:val="4E704CA0"/>
    <w:rsid w:val="4E7C6438"/>
    <w:rsid w:val="4E7E368F"/>
    <w:rsid w:val="4E832BEF"/>
    <w:rsid w:val="4E8972EB"/>
    <w:rsid w:val="4EBE7F2F"/>
    <w:rsid w:val="4ED80FF1"/>
    <w:rsid w:val="4EFB083B"/>
    <w:rsid w:val="4F0C47F7"/>
    <w:rsid w:val="4F146347"/>
    <w:rsid w:val="4F2214EC"/>
    <w:rsid w:val="4F365D17"/>
    <w:rsid w:val="4F406D08"/>
    <w:rsid w:val="4F443F90"/>
    <w:rsid w:val="4F4C6922"/>
    <w:rsid w:val="4F500D64"/>
    <w:rsid w:val="4F554DBC"/>
    <w:rsid w:val="4F754A92"/>
    <w:rsid w:val="4F80215F"/>
    <w:rsid w:val="4F833B28"/>
    <w:rsid w:val="4F90367A"/>
    <w:rsid w:val="4F9D6A43"/>
    <w:rsid w:val="4FC155E1"/>
    <w:rsid w:val="4FD10ADB"/>
    <w:rsid w:val="50157552"/>
    <w:rsid w:val="50157BA4"/>
    <w:rsid w:val="501C792F"/>
    <w:rsid w:val="501E6ED7"/>
    <w:rsid w:val="50372F04"/>
    <w:rsid w:val="503D0049"/>
    <w:rsid w:val="50443E73"/>
    <w:rsid w:val="504B2D47"/>
    <w:rsid w:val="50655046"/>
    <w:rsid w:val="5084471F"/>
    <w:rsid w:val="509176A9"/>
    <w:rsid w:val="50997861"/>
    <w:rsid w:val="50C8299F"/>
    <w:rsid w:val="50CA4969"/>
    <w:rsid w:val="50D15CF8"/>
    <w:rsid w:val="50E37B3B"/>
    <w:rsid w:val="50EA381E"/>
    <w:rsid w:val="510460CD"/>
    <w:rsid w:val="510754F6"/>
    <w:rsid w:val="511957EC"/>
    <w:rsid w:val="512027DB"/>
    <w:rsid w:val="51215764"/>
    <w:rsid w:val="5128407F"/>
    <w:rsid w:val="513D513B"/>
    <w:rsid w:val="5154562A"/>
    <w:rsid w:val="515B6789"/>
    <w:rsid w:val="515F1555"/>
    <w:rsid w:val="515F4902"/>
    <w:rsid w:val="5160711D"/>
    <w:rsid w:val="517A013D"/>
    <w:rsid w:val="5193317F"/>
    <w:rsid w:val="51B06235"/>
    <w:rsid w:val="51D3784E"/>
    <w:rsid w:val="51DB2209"/>
    <w:rsid w:val="51E12649"/>
    <w:rsid w:val="51E23F34"/>
    <w:rsid w:val="51E90E1F"/>
    <w:rsid w:val="51EF789D"/>
    <w:rsid w:val="51FC56D2"/>
    <w:rsid w:val="51FD2B1C"/>
    <w:rsid w:val="521710AE"/>
    <w:rsid w:val="5239519E"/>
    <w:rsid w:val="523F1387"/>
    <w:rsid w:val="524179FF"/>
    <w:rsid w:val="52636E23"/>
    <w:rsid w:val="52645A0F"/>
    <w:rsid w:val="5268443A"/>
    <w:rsid w:val="52725202"/>
    <w:rsid w:val="52AD576E"/>
    <w:rsid w:val="52B0193D"/>
    <w:rsid w:val="52B15DE1"/>
    <w:rsid w:val="52BE22AC"/>
    <w:rsid w:val="52BE43BC"/>
    <w:rsid w:val="52D3564F"/>
    <w:rsid w:val="52DC69E2"/>
    <w:rsid w:val="52E66729"/>
    <w:rsid w:val="52F67F77"/>
    <w:rsid w:val="52FC3BAB"/>
    <w:rsid w:val="530124BE"/>
    <w:rsid w:val="53073C53"/>
    <w:rsid w:val="530971A6"/>
    <w:rsid w:val="53177C0E"/>
    <w:rsid w:val="532279AC"/>
    <w:rsid w:val="532B6AB6"/>
    <w:rsid w:val="53603363"/>
    <w:rsid w:val="53657DFB"/>
    <w:rsid w:val="53706248"/>
    <w:rsid w:val="53947E95"/>
    <w:rsid w:val="53A625F7"/>
    <w:rsid w:val="53C910FB"/>
    <w:rsid w:val="53DF5DB6"/>
    <w:rsid w:val="54091C4C"/>
    <w:rsid w:val="540C24D8"/>
    <w:rsid w:val="54134879"/>
    <w:rsid w:val="541505F1"/>
    <w:rsid w:val="543019A1"/>
    <w:rsid w:val="54322F51"/>
    <w:rsid w:val="543734F7"/>
    <w:rsid w:val="543C3DD0"/>
    <w:rsid w:val="544516DD"/>
    <w:rsid w:val="54501BCF"/>
    <w:rsid w:val="54580F35"/>
    <w:rsid w:val="545A0359"/>
    <w:rsid w:val="545E4C80"/>
    <w:rsid w:val="546348D2"/>
    <w:rsid w:val="54683F8A"/>
    <w:rsid w:val="546B0211"/>
    <w:rsid w:val="546F2749"/>
    <w:rsid w:val="54705828"/>
    <w:rsid w:val="54790D98"/>
    <w:rsid w:val="547C241E"/>
    <w:rsid w:val="547C64A9"/>
    <w:rsid w:val="548067C5"/>
    <w:rsid w:val="54994D7E"/>
    <w:rsid w:val="54A159E1"/>
    <w:rsid w:val="54A379AB"/>
    <w:rsid w:val="54AB6860"/>
    <w:rsid w:val="54B95421"/>
    <w:rsid w:val="54CA34C2"/>
    <w:rsid w:val="54E104D3"/>
    <w:rsid w:val="55106C26"/>
    <w:rsid w:val="551D5F8B"/>
    <w:rsid w:val="5527643E"/>
    <w:rsid w:val="552D3719"/>
    <w:rsid w:val="55393E6B"/>
    <w:rsid w:val="553D5662"/>
    <w:rsid w:val="55647351"/>
    <w:rsid w:val="55702306"/>
    <w:rsid w:val="55733821"/>
    <w:rsid w:val="5580729F"/>
    <w:rsid w:val="559B1B11"/>
    <w:rsid w:val="55AD2DC1"/>
    <w:rsid w:val="55AF05D2"/>
    <w:rsid w:val="55BE25C3"/>
    <w:rsid w:val="55C54F9B"/>
    <w:rsid w:val="55C776C9"/>
    <w:rsid w:val="55CE40CE"/>
    <w:rsid w:val="55DE76E1"/>
    <w:rsid w:val="55EA33B8"/>
    <w:rsid w:val="560C77D2"/>
    <w:rsid w:val="560F6BC7"/>
    <w:rsid w:val="56117BFD"/>
    <w:rsid w:val="56183FCE"/>
    <w:rsid w:val="56586B46"/>
    <w:rsid w:val="56670EB9"/>
    <w:rsid w:val="567551C0"/>
    <w:rsid w:val="567F7FA4"/>
    <w:rsid w:val="568A343A"/>
    <w:rsid w:val="568D4B0A"/>
    <w:rsid w:val="56905D0D"/>
    <w:rsid w:val="56963BDC"/>
    <w:rsid w:val="5697709C"/>
    <w:rsid w:val="56AD2D63"/>
    <w:rsid w:val="56BB4219"/>
    <w:rsid w:val="56C10B7B"/>
    <w:rsid w:val="56E60023"/>
    <w:rsid w:val="56FB3ACE"/>
    <w:rsid w:val="575F2E1D"/>
    <w:rsid w:val="578A0218"/>
    <w:rsid w:val="57995238"/>
    <w:rsid w:val="579E0408"/>
    <w:rsid w:val="57A8352A"/>
    <w:rsid w:val="57C4203E"/>
    <w:rsid w:val="57C77E54"/>
    <w:rsid w:val="57D7316D"/>
    <w:rsid w:val="57D85BBE"/>
    <w:rsid w:val="57DA32B2"/>
    <w:rsid w:val="5809221B"/>
    <w:rsid w:val="581E27FC"/>
    <w:rsid w:val="58226E39"/>
    <w:rsid w:val="58272CC8"/>
    <w:rsid w:val="582D20D5"/>
    <w:rsid w:val="583D2821"/>
    <w:rsid w:val="58410CF9"/>
    <w:rsid w:val="5862602D"/>
    <w:rsid w:val="587D49B7"/>
    <w:rsid w:val="5898534D"/>
    <w:rsid w:val="58A41254"/>
    <w:rsid w:val="58BA6694"/>
    <w:rsid w:val="58CA2D21"/>
    <w:rsid w:val="58CD2411"/>
    <w:rsid w:val="58D520FD"/>
    <w:rsid w:val="58E42340"/>
    <w:rsid w:val="58E81E30"/>
    <w:rsid w:val="58F9403E"/>
    <w:rsid w:val="58FE1654"/>
    <w:rsid w:val="590E1D02"/>
    <w:rsid w:val="590F1AB3"/>
    <w:rsid w:val="591951EF"/>
    <w:rsid w:val="5932703B"/>
    <w:rsid w:val="5947124D"/>
    <w:rsid w:val="59592DF9"/>
    <w:rsid w:val="59613991"/>
    <w:rsid w:val="59782848"/>
    <w:rsid w:val="599B3347"/>
    <w:rsid w:val="59A0270B"/>
    <w:rsid w:val="59A10231"/>
    <w:rsid w:val="59BC506B"/>
    <w:rsid w:val="59BD6FD0"/>
    <w:rsid w:val="59CE22C7"/>
    <w:rsid w:val="59E62B92"/>
    <w:rsid w:val="59F57D72"/>
    <w:rsid w:val="5A041D8D"/>
    <w:rsid w:val="5A0802B0"/>
    <w:rsid w:val="5A0C38B4"/>
    <w:rsid w:val="5A0F1A20"/>
    <w:rsid w:val="5A153686"/>
    <w:rsid w:val="5A1B4488"/>
    <w:rsid w:val="5A2D257D"/>
    <w:rsid w:val="5A427D7C"/>
    <w:rsid w:val="5A5A0B0C"/>
    <w:rsid w:val="5A5B7493"/>
    <w:rsid w:val="5A685E90"/>
    <w:rsid w:val="5A76409B"/>
    <w:rsid w:val="5A7A7400"/>
    <w:rsid w:val="5A7F460E"/>
    <w:rsid w:val="5ABE5F61"/>
    <w:rsid w:val="5AC95C92"/>
    <w:rsid w:val="5AC97A40"/>
    <w:rsid w:val="5AD66EC2"/>
    <w:rsid w:val="5ADE1949"/>
    <w:rsid w:val="5ADF3244"/>
    <w:rsid w:val="5AE42ACB"/>
    <w:rsid w:val="5AEC4240"/>
    <w:rsid w:val="5AFA4EC0"/>
    <w:rsid w:val="5B063B2B"/>
    <w:rsid w:val="5B0B413C"/>
    <w:rsid w:val="5B0B4533"/>
    <w:rsid w:val="5B1E422F"/>
    <w:rsid w:val="5B254357"/>
    <w:rsid w:val="5B2D1660"/>
    <w:rsid w:val="5B3E21DC"/>
    <w:rsid w:val="5B4D6C21"/>
    <w:rsid w:val="5B7C4F58"/>
    <w:rsid w:val="5B9E2C7A"/>
    <w:rsid w:val="5BA55BBB"/>
    <w:rsid w:val="5BB57FC4"/>
    <w:rsid w:val="5BBC75A4"/>
    <w:rsid w:val="5BC22E0D"/>
    <w:rsid w:val="5BE43388"/>
    <w:rsid w:val="5BE54D4D"/>
    <w:rsid w:val="5C001B87"/>
    <w:rsid w:val="5C003935"/>
    <w:rsid w:val="5C180F45"/>
    <w:rsid w:val="5C2018E1"/>
    <w:rsid w:val="5C2921BD"/>
    <w:rsid w:val="5C4444CB"/>
    <w:rsid w:val="5C45759A"/>
    <w:rsid w:val="5C476215"/>
    <w:rsid w:val="5C4E28F2"/>
    <w:rsid w:val="5C622533"/>
    <w:rsid w:val="5C69772C"/>
    <w:rsid w:val="5C817748"/>
    <w:rsid w:val="5C852C12"/>
    <w:rsid w:val="5C9A5B38"/>
    <w:rsid w:val="5CC27CDB"/>
    <w:rsid w:val="5CC93515"/>
    <w:rsid w:val="5CE15514"/>
    <w:rsid w:val="5CF15E00"/>
    <w:rsid w:val="5D2109E2"/>
    <w:rsid w:val="5D2329C6"/>
    <w:rsid w:val="5D2378DB"/>
    <w:rsid w:val="5D2E5185"/>
    <w:rsid w:val="5D552D03"/>
    <w:rsid w:val="5D594705"/>
    <w:rsid w:val="5D6B5723"/>
    <w:rsid w:val="5D82210A"/>
    <w:rsid w:val="5D8B722E"/>
    <w:rsid w:val="5D973E25"/>
    <w:rsid w:val="5DAF116F"/>
    <w:rsid w:val="5DB26EB1"/>
    <w:rsid w:val="5DB468A9"/>
    <w:rsid w:val="5DBD5CA9"/>
    <w:rsid w:val="5DC0337C"/>
    <w:rsid w:val="5DDC3F2E"/>
    <w:rsid w:val="5DE60909"/>
    <w:rsid w:val="5E055A2C"/>
    <w:rsid w:val="5E086AD1"/>
    <w:rsid w:val="5E0F60B1"/>
    <w:rsid w:val="5E330D54"/>
    <w:rsid w:val="5E47584B"/>
    <w:rsid w:val="5E617BC4"/>
    <w:rsid w:val="5E8C325E"/>
    <w:rsid w:val="5EE0003A"/>
    <w:rsid w:val="5F02037C"/>
    <w:rsid w:val="5F0C6978"/>
    <w:rsid w:val="5F130ED1"/>
    <w:rsid w:val="5F1615C0"/>
    <w:rsid w:val="5F1C2834"/>
    <w:rsid w:val="5F3469FF"/>
    <w:rsid w:val="5F3C6B9F"/>
    <w:rsid w:val="5F49114F"/>
    <w:rsid w:val="5F4A7F73"/>
    <w:rsid w:val="5F506981"/>
    <w:rsid w:val="5F5076E6"/>
    <w:rsid w:val="5F5F4E16"/>
    <w:rsid w:val="5F66666A"/>
    <w:rsid w:val="5F67295F"/>
    <w:rsid w:val="5F693F19"/>
    <w:rsid w:val="5F6A7FFF"/>
    <w:rsid w:val="5FA34D03"/>
    <w:rsid w:val="5FA82319"/>
    <w:rsid w:val="600D00DD"/>
    <w:rsid w:val="60107EBF"/>
    <w:rsid w:val="60117485"/>
    <w:rsid w:val="601856F1"/>
    <w:rsid w:val="6024395C"/>
    <w:rsid w:val="60724C1A"/>
    <w:rsid w:val="60787F3E"/>
    <w:rsid w:val="607C0B7C"/>
    <w:rsid w:val="60830691"/>
    <w:rsid w:val="60B116A2"/>
    <w:rsid w:val="60C1759D"/>
    <w:rsid w:val="60D31166"/>
    <w:rsid w:val="60D50CD9"/>
    <w:rsid w:val="60F63558"/>
    <w:rsid w:val="60FD6695"/>
    <w:rsid w:val="611511EC"/>
    <w:rsid w:val="61265F3A"/>
    <w:rsid w:val="61387AB8"/>
    <w:rsid w:val="614721A4"/>
    <w:rsid w:val="61484C02"/>
    <w:rsid w:val="61497B2C"/>
    <w:rsid w:val="614B4785"/>
    <w:rsid w:val="615F3AC8"/>
    <w:rsid w:val="616E1341"/>
    <w:rsid w:val="61776447"/>
    <w:rsid w:val="61823F79"/>
    <w:rsid w:val="6189617B"/>
    <w:rsid w:val="619E1C26"/>
    <w:rsid w:val="619F774C"/>
    <w:rsid w:val="61BC4533"/>
    <w:rsid w:val="61D85C1B"/>
    <w:rsid w:val="61E15FB7"/>
    <w:rsid w:val="61E93ACE"/>
    <w:rsid w:val="61F432D4"/>
    <w:rsid w:val="62066613"/>
    <w:rsid w:val="620D321D"/>
    <w:rsid w:val="621C3C24"/>
    <w:rsid w:val="6220088D"/>
    <w:rsid w:val="623C4F9B"/>
    <w:rsid w:val="623E0D13"/>
    <w:rsid w:val="62407622"/>
    <w:rsid w:val="62467BC8"/>
    <w:rsid w:val="62487121"/>
    <w:rsid w:val="62517289"/>
    <w:rsid w:val="62595123"/>
    <w:rsid w:val="629D6F8D"/>
    <w:rsid w:val="629E5C56"/>
    <w:rsid w:val="629F17DA"/>
    <w:rsid w:val="62D33B51"/>
    <w:rsid w:val="62E24294"/>
    <w:rsid w:val="62E45022"/>
    <w:rsid w:val="62F13FD7"/>
    <w:rsid w:val="630D067F"/>
    <w:rsid w:val="63157B78"/>
    <w:rsid w:val="63172842"/>
    <w:rsid w:val="631B397E"/>
    <w:rsid w:val="63253C81"/>
    <w:rsid w:val="63556314"/>
    <w:rsid w:val="63626C83"/>
    <w:rsid w:val="63754B89"/>
    <w:rsid w:val="6382443B"/>
    <w:rsid w:val="63984453"/>
    <w:rsid w:val="63A728E8"/>
    <w:rsid w:val="63E31DEA"/>
    <w:rsid w:val="63EF5599"/>
    <w:rsid w:val="63F20007"/>
    <w:rsid w:val="6401024A"/>
    <w:rsid w:val="64432611"/>
    <w:rsid w:val="645046A2"/>
    <w:rsid w:val="648669A1"/>
    <w:rsid w:val="649B1D5A"/>
    <w:rsid w:val="64A31301"/>
    <w:rsid w:val="64AD567A"/>
    <w:rsid w:val="64B30C27"/>
    <w:rsid w:val="64C5396E"/>
    <w:rsid w:val="64CF659A"/>
    <w:rsid w:val="64D905BA"/>
    <w:rsid w:val="64EA63B8"/>
    <w:rsid w:val="651D2A62"/>
    <w:rsid w:val="65242442"/>
    <w:rsid w:val="653528A1"/>
    <w:rsid w:val="654A5B21"/>
    <w:rsid w:val="654C40D9"/>
    <w:rsid w:val="655125D3"/>
    <w:rsid w:val="65536795"/>
    <w:rsid w:val="65615E7B"/>
    <w:rsid w:val="656B0071"/>
    <w:rsid w:val="657131AE"/>
    <w:rsid w:val="657C58B7"/>
    <w:rsid w:val="65837C8E"/>
    <w:rsid w:val="65B01F28"/>
    <w:rsid w:val="65B55790"/>
    <w:rsid w:val="65B975D9"/>
    <w:rsid w:val="65DC2D1D"/>
    <w:rsid w:val="66176008"/>
    <w:rsid w:val="663012BB"/>
    <w:rsid w:val="66383533"/>
    <w:rsid w:val="665D1118"/>
    <w:rsid w:val="669F4100"/>
    <w:rsid w:val="66D32372"/>
    <w:rsid w:val="66D67198"/>
    <w:rsid w:val="66D71736"/>
    <w:rsid w:val="66D95632"/>
    <w:rsid w:val="66E300DB"/>
    <w:rsid w:val="66E31E89"/>
    <w:rsid w:val="66FC1E30"/>
    <w:rsid w:val="67335249"/>
    <w:rsid w:val="677B6565"/>
    <w:rsid w:val="679E5734"/>
    <w:rsid w:val="67A53261"/>
    <w:rsid w:val="67A7735B"/>
    <w:rsid w:val="67BC1058"/>
    <w:rsid w:val="67BD20FC"/>
    <w:rsid w:val="67E22141"/>
    <w:rsid w:val="67F2133B"/>
    <w:rsid w:val="67F73E3E"/>
    <w:rsid w:val="67FB3202"/>
    <w:rsid w:val="680B7AD1"/>
    <w:rsid w:val="681B0A03"/>
    <w:rsid w:val="681F15E7"/>
    <w:rsid w:val="683706DE"/>
    <w:rsid w:val="683B1E5D"/>
    <w:rsid w:val="685968A7"/>
    <w:rsid w:val="685D53DA"/>
    <w:rsid w:val="686D4300"/>
    <w:rsid w:val="688500B7"/>
    <w:rsid w:val="68963FDC"/>
    <w:rsid w:val="689773CF"/>
    <w:rsid w:val="68AF4E0D"/>
    <w:rsid w:val="68B61BDB"/>
    <w:rsid w:val="68BF1C67"/>
    <w:rsid w:val="68CD4B9F"/>
    <w:rsid w:val="68CF0917"/>
    <w:rsid w:val="68E67A4B"/>
    <w:rsid w:val="68F84D2A"/>
    <w:rsid w:val="68F930C3"/>
    <w:rsid w:val="690818ED"/>
    <w:rsid w:val="691722BE"/>
    <w:rsid w:val="692B518C"/>
    <w:rsid w:val="693C4A37"/>
    <w:rsid w:val="693C7347"/>
    <w:rsid w:val="69561DEF"/>
    <w:rsid w:val="69626530"/>
    <w:rsid w:val="698F62F8"/>
    <w:rsid w:val="69907DD3"/>
    <w:rsid w:val="69931944"/>
    <w:rsid w:val="69B240F7"/>
    <w:rsid w:val="69B63885"/>
    <w:rsid w:val="69F62F0E"/>
    <w:rsid w:val="69FA4BAD"/>
    <w:rsid w:val="69FB10EF"/>
    <w:rsid w:val="6A07766D"/>
    <w:rsid w:val="6A0B3BD1"/>
    <w:rsid w:val="6A154A4F"/>
    <w:rsid w:val="6A186779"/>
    <w:rsid w:val="6A331379"/>
    <w:rsid w:val="6A372C18"/>
    <w:rsid w:val="6A4D56EB"/>
    <w:rsid w:val="6A531ADF"/>
    <w:rsid w:val="6A5437CA"/>
    <w:rsid w:val="6A643558"/>
    <w:rsid w:val="6A9562C0"/>
    <w:rsid w:val="6AA979A5"/>
    <w:rsid w:val="6ABF2C90"/>
    <w:rsid w:val="6AC737B4"/>
    <w:rsid w:val="6B120F8F"/>
    <w:rsid w:val="6B126460"/>
    <w:rsid w:val="6B230187"/>
    <w:rsid w:val="6B3727A3"/>
    <w:rsid w:val="6B4344B3"/>
    <w:rsid w:val="6B4753D2"/>
    <w:rsid w:val="6B536C6F"/>
    <w:rsid w:val="6B574BF4"/>
    <w:rsid w:val="6B804DF4"/>
    <w:rsid w:val="6B8359E9"/>
    <w:rsid w:val="6BA37E39"/>
    <w:rsid w:val="6BC04E8F"/>
    <w:rsid w:val="6BC149C4"/>
    <w:rsid w:val="6BCF0C2E"/>
    <w:rsid w:val="6BD83F86"/>
    <w:rsid w:val="6BDF3567"/>
    <w:rsid w:val="6C007039"/>
    <w:rsid w:val="6C1831C1"/>
    <w:rsid w:val="6C3D028D"/>
    <w:rsid w:val="6C4B6506"/>
    <w:rsid w:val="6C5D56EC"/>
    <w:rsid w:val="6CB56076"/>
    <w:rsid w:val="6CBC553C"/>
    <w:rsid w:val="6CEC38BD"/>
    <w:rsid w:val="6CF05300"/>
    <w:rsid w:val="6CF117E7"/>
    <w:rsid w:val="6D0112BB"/>
    <w:rsid w:val="6D036DE1"/>
    <w:rsid w:val="6D390A55"/>
    <w:rsid w:val="6D41718C"/>
    <w:rsid w:val="6D537B3F"/>
    <w:rsid w:val="6D594C53"/>
    <w:rsid w:val="6D6078E9"/>
    <w:rsid w:val="6D656E60"/>
    <w:rsid w:val="6D667370"/>
    <w:rsid w:val="6DA46816"/>
    <w:rsid w:val="6DA5433C"/>
    <w:rsid w:val="6DB6785C"/>
    <w:rsid w:val="6DC42A14"/>
    <w:rsid w:val="6DE33082"/>
    <w:rsid w:val="6DFF3A4C"/>
    <w:rsid w:val="6E041063"/>
    <w:rsid w:val="6E043F93"/>
    <w:rsid w:val="6E15087F"/>
    <w:rsid w:val="6E255E97"/>
    <w:rsid w:val="6E316BBC"/>
    <w:rsid w:val="6E5B2C4D"/>
    <w:rsid w:val="6E6012C6"/>
    <w:rsid w:val="6E6A491D"/>
    <w:rsid w:val="6E764D7C"/>
    <w:rsid w:val="6E7C04A0"/>
    <w:rsid w:val="6E836204"/>
    <w:rsid w:val="6E9B39DE"/>
    <w:rsid w:val="6EAD352B"/>
    <w:rsid w:val="6EB56801"/>
    <w:rsid w:val="6ECD1F14"/>
    <w:rsid w:val="6EDF1132"/>
    <w:rsid w:val="6EFB6E79"/>
    <w:rsid w:val="6EFC7919"/>
    <w:rsid w:val="6EFE4E6D"/>
    <w:rsid w:val="6F05299C"/>
    <w:rsid w:val="6F083446"/>
    <w:rsid w:val="6F0D221B"/>
    <w:rsid w:val="6F1F1ECC"/>
    <w:rsid w:val="6F2A7222"/>
    <w:rsid w:val="6F2B2E7D"/>
    <w:rsid w:val="6F304CD8"/>
    <w:rsid w:val="6F551295"/>
    <w:rsid w:val="6F853877"/>
    <w:rsid w:val="6F865ED2"/>
    <w:rsid w:val="6F885CC3"/>
    <w:rsid w:val="6FDE0DCF"/>
    <w:rsid w:val="6FF45107"/>
    <w:rsid w:val="7004359C"/>
    <w:rsid w:val="7012558D"/>
    <w:rsid w:val="7014523F"/>
    <w:rsid w:val="70147557"/>
    <w:rsid w:val="70335C2F"/>
    <w:rsid w:val="70343494"/>
    <w:rsid w:val="70425E72"/>
    <w:rsid w:val="70587444"/>
    <w:rsid w:val="707A385E"/>
    <w:rsid w:val="707B1384"/>
    <w:rsid w:val="708521C2"/>
    <w:rsid w:val="70904E30"/>
    <w:rsid w:val="70952446"/>
    <w:rsid w:val="70B178B5"/>
    <w:rsid w:val="70BC3E77"/>
    <w:rsid w:val="70C346B9"/>
    <w:rsid w:val="70CE3F6C"/>
    <w:rsid w:val="70E22941"/>
    <w:rsid w:val="70ED4030"/>
    <w:rsid w:val="70F27898"/>
    <w:rsid w:val="70F4421A"/>
    <w:rsid w:val="70FF68A0"/>
    <w:rsid w:val="71121CE9"/>
    <w:rsid w:val="71264BC1"/>
    <w:rsid w:val="712B064D"/>
    <w:rsid w:val="7153472C"/>
    <w:rsid w:val="71566079"/>
    <w:rsid w:val="715E6CDC"/>
    <w:rsid w:val="71635306"/>
    <w:rsid w:val="71871F2A"/>
    <w:rsid w:val="71A23E6B"/>
    <w:rsid w:val="71B02F31"/>
    <w:rsid w:val="71B763EC"/>
    <w:rsid w:val="71D376CA"/>
    <w:rsid w:val="71E0149B"/>
    <w:rsid w:val="71EE0C1A"/>
    <w:rsid w:val="71FC36C2"/>
    <w:rsid w:val="71FE226D"/>
    <w:rsid w:val="721F16A8"/>
    <w:rsid w:val="72321F03"/>
    <w:rsid w:val="72345C8F"/>
    <w:rsid w:val="724C122A"/>
    <w:rsid w:val="72580C48"/>
    <w:rsid w:val="7265440A"/>
    <w:rsid w:val="727F059A"/>
    <w:rsid w:val="72820B90"/>
    <w:rsid w:val="728564EA"/>
    <w:rsid w:val="72874379"/>
    <w:rsid w:val="7296327C"/>
    <w:rsid w:val="72BF41FF"/>
    <w:rsid w:val="72C214EC"/>
    <w:rsid w:val="73075151"/>
    <w:rsid w:val="73726A6F"/>
    <w:rsid w:val="73832A2A"/>
    <w:rsid w:val="73974E9C"/>
    <w:rsid w:val="73A429A0"/>
    <w:rsid w:val="73AD7AA7"/>
    <w:rsid w:val="73D60595"/>
    <w:rsid w:val="73D634A1"/>
    <w:rsid w:val="73D95F4D"/>
    <w:rsid w:val="73FB331A"/>
    <w:rsid w:val="73FB4CB6"/>
    <w:rsid w:val="73FE47A6"/>
    <w:rsid w:val="73FF26D4"/>
    <w:rsid w:val="74332DB6"/>
    <w:rsid w:val="74343E2E"/>
    <w:rsid w:val="74373814"/>
    <w:rsid w:val="74546797"/>
    <w:rsid w:val="745756B7"/>
    <w:rsid w:val="745D14CD"/>
    <w:rsid w:val="747861FC"/>
    <w:rsid w:val="747902C6"/>
    <w:rsid w:val="748F424A"/>
    <w:rsid w:val="74940C67"/>
    <w:rsid w:val="749A61FE"/>
    <w:rsid w:val="749E5641"/>
    <w:rsid w:val="74A7099A"/>
    <w:rsid w:val="74A76BEC"/>
    <w:rsid w:val="74B94C2E"/>
    <w:rsid w:val="74BA1537"/>
    <w:rsid w:val="74CE06B6"/>
    <w:rsid w:val="74F06431"/>
    <w:rsid w:val="74F55BA9"/>
    <w:rsid w:val="750C5B34"/>
    <w:rsid w:val="751D21C1"/>
    <w:rsid w:val="751F49D4"/>
    <w:rsid w:val="75210DC6"/>
    <w:rsid w:val="752A48C5"/>
    <w:rsid w:val="75397E7B"/>
    <w:rsid w:val="75436915"/>
    <w:rsid w:val="75446D82"/>
    <w:rsid w:val="75871C2F"/>
    <w:rsid w:val="75B3067F"/>
    <w:rsid w:val="75E35426"/>
    <w:rsid w:val="75E83018"/>
    <w:rsid w:val="7601057E"/>
    <w:rsid w:val="762070B4"/>
    <w:rsid w:val="7634625D"/>
    <w:rsid w:val="763E532E"/>
    <w:rsid w:val="76634D94"/>
    <w:rsid w:val="767800C6"/>
    <w:rsid w:val="76866C66"/>
    <w:rsid w:val="76992564"/>
    <w:rsid w:val="76A421E3"/>
    <w:rsid w:val="76A834D1"/>
    <w:rsid w:val="76AE24B4"/>
    <w:rsid w:val="76B24594"/>
    <w:rsid w:val="76B71090"/>
    <w:rsid w:val="76D84386"/>
    <w:rsid w:val="76DB7075"/>
    <w:rsid w:val="76E23F0B"/>
    <w:rsid w:val="7706409E"/>
    <w:rsid w:val="772938E8"/>
    <w:rsid w:val="772A140E"/>
    <w:rsid w:val="77326D9C"/>
    <w:rsid w:val="773B361B"/>
    <w:rsid w:val="77436BAC"/>
    <w:rsid w:val="774424D0"/>
    <w:rsid w:val="77514BED"/>
    <w:rsid w:val="77592478"/>
    <w:rsid w:val="77625FEF"/>
    <w:rsid w:val="776452D0"/>
    <w:rsid w:val="776D606E"/>
    <w:rsid w:val="77860D3A"/>
    <w:rsid w:val="77955421"/>
    <w:rsid w:val="77A85155"/>
    <w:rsid w:val="77B533CE"/>
    <w:rsid w:val="77D17A87"/>
    <w:rsid w:val="77EA7383"/>
    <w:rsid w:val="78120820"/>
    <w:rsid w:val="78156333"/>
    <w:rsid w:val="7821236C"/>
    <w:rsid w:val="782F20DF"/>
    <w:rsid w:val="782F507F"/>
    <w:rsid w:val="783863BB"/>
    <w:rsid w:val="783C764B"/>
    <w:rsid w:val="786077DD"/>
    <w:rsid w:val="7862209E"/>
    <w:rsid w:val="786541B6"/>
    <w:rsid w:val="78734760"/>
    <w:rsid w:val="78745037"/>
    <w:rsid w:val="78A75F6D"/>
    <w:rsid w:val="78AD7A58"/>
    <w:rsid w:val="78B158B9"/>
    <w:rsid w:val="78BD3AFA"/>
    <w:rsid w:val="78C404DE"/>
    <w:rsid w:val="78D855C6"/>
    <w:rsid w:val="791D747D"/>
    <w:rsid w:val="791E66F7"/>
    <w:rsid w:val="7926399A"/>
    <w:rsid w:val="792D5686"/>
    <w:rsid w:val="7939652E"/>
    <w:rsid w:val="7940316B"/>
    <w:rsid w:val="79494343"/>
    <w:rsid w:val="794E3ADA"/>
    <w:rsid w:val="79534C4C"/>
    <w:rsid w:val="796144F5"/>
    <w:rsid w:val="796E37A3"/>
    <w:rsid w:val="79703A50"/>
    <w:rsid w:val="79927E6B"/>
    <w:rsid w:val="79986B03"/>
    <w:rsid w:val="79A454A8"/>
    <w:rsid w:val="79DE4DED"/>
    <w:rsid w:val="79FC5BD4"/>
    <w:rsid w:val="79FF2E33"/>
    <w:rsid w:val="7A086952"/>
    <w:rsid w:val="7A29339B"/>
    <w:rsid w:val="7A543372"/>
    <w:rsid w:val="7A5769BE"/>
    <w:rsid w:val="7A6354C5"/>
    <w:rsid w:val="7A6A0DAE"/>
    <w:rsid w:val="7A770956"/>
    <w:rsid w:val="7A8C3967"/>
    <w:rsid w:val="7A8C48BA"/>
    <w:rsid w:val="7AB14F4C"/>
    <w:rsid w:val="7ABA3647"/>
    <w:rsid w:val="7AC73B44"/>
    <w:rsid w:val="7ACD6C80"/>
    <w:rsid w:val="7ACE5530"/>
    <w:rsid w:val="7AD4636B"/>
    <w:rsid w:val="7AE66978"/>
    <w:rsid w:val="7AE81747"/>
    <w:rsid w:val="7AF54138"/>
    <w:rsid w:val="7AF875AA"/>
    <w:rsid w:val="7AF90BDE"/>
    <w:rsid w:val="7B284B90"/>
    <w:rsid w:val="7B2E3BC3"/>
    <w:rsid w:val="7B346CFF"/>
    <w:rsid w:val="7B383F13"/>
    <w:rsid w:val="7B4261CF"/>
    <w:rsid w:val="7B5C345E"/>
    <w:rsid w:val="7B811F45"/>
    <w:rsid w:val="7BA63759"/>
    <w:rsid w:val="7BC02341"/>
    <w:rsid w:val="7BC2430B"/>
    <w:rsid w:val="7BD21ACE"/>
    <w:rsid w:val="7BD21DB9"/>
    <w:rsid w:val="7BF3221E"/>
    <w:rsid w:val="7BFC7D99"/>
    <w:rsid w:val="7C1873ED"/>
    <w:rsid w:val="7C345209"/>
    <w:rsid w:val="7C3A0345"/>
    <w:rsid w:val="7C4349F2"/>
    <w:rsid w:val="7C52779F"/>
    <w:rsid w:val="7C5C02BC"/>
    <w:rsid w:val="7C5D1399"/>
    <w:rsid w:val="7C7F3FAA"/>
    <w:rsid w:val="7C8026D1"/>
    <w:rsid w:val="7CA9195E"/>
    <w:rsid w:val="7CAF663E"/>
    <w:rsid w:val="7CB74812"/>
    <w:rsid w:val="7CBF5D93"/>
    <w:rsid w:val="7CC04CEF"/>
    <w:rsid w:val="7CC876FF"/>
    <w:rsid w:val="7CD84494"/>
    <w:rsid w:val="7CE56503"/>
    <w:rsid w:val="7CEE582E"/>
    <w:rsid w:val="7CEF1130"/>
    <w:rsid w:val="7CF01D38"/>
    <w:rsid w:val="7CF0236E"/>
    <w:rsid w:val="7D2F59D0"/>
    <w:rsid w:val="7D40373A"/>
    <w:rsid w:val="7D603C37"/>
    <w:rsid w:val="7D8474F6"/>
    <w:rsid w:val="7D871368"/>
    <w:rsid w:val="7D9D7508"/>
    <w:rsid w:val="7DA57A41"/>
    <w:rsid w:val="7DAE7D84"/>
    <w:rsid w:val="7DBD4D8A"/>
    <w:rsid w:val="7DCA74A7"/>
    <w:rsid w:val="7DDA2CEF"/>
    <w:rsid w:val="7DDD3A76"/>
    <w:rsid w:val="7DF44886"/>
    <w:rsid w:val="7DF82266"/>
    <w:rsid w:val="7E052486"/>
    <w:rsid w:val="7E061F65"/>
    <w:rsid w:val="7E1A2A46"/>
    <w:rsid w:val="7E1F77F3"/>
    <w:rsid w:val="7E3B5A76"/>
    <w:rsid w:val="7E3D120F"/>
    <w:rsid w:val="7E4215D3"/>
    <w:rsid w:val="7E50337F"/>
    <w:rsid w:val="7E716D54"/>
    <w:rsid w:val="7E835FD4"/>
    <w:rsid w:val="7E8F2BCB"/>
    <w:rsid w:val="7E9A331D"/>
    <w:rsid w:val="7EA06B86"/>
    <w:rsid w:val="7EA53168"/>
    <w:rsid w:val="7EA83C8C"/>
    <w:rsid w:val="7EB4618D"/>
    <w:rsid w:val="7EB75C7D"/>
    <w:rsid w:val="7EB919F5"/>
    <w:rsid w:val="7EC8321D"/>
    <w:rsid w:val="7ECD3B65"/>
    <w:rsid w:val="7ECF4994"/>
    <w:rsid w:val="7ED12252"/>
    <w:rsid w:val="7EF70A41"/>
    <w:rsid w:val="7F0270E0"/>
    <w:rsid w:val="7F121106"/>
    <w:rsid w:val="7F1906E6"/>
    <w:rsid w:val="7F3E3CEB"/>
    <w:rsid w:val="7F547503"/>
    <w:rsid w:val="7F5C7D12"/>
    <w:rsid w:val="7F69341C"/>
    <w:rsid w:val="7F8C2C66"/>
    <w:rsid w:val="7F8C43CB"/>
    <w:rsid w:val="7F8F431D"/>
    <w:rsid w:val="7F945FBF"/>
    <w:rsid w:val="7FA7286B"/>
    <w:rsid w:val="7FAC43B7"/>
    <w:rsid w:val="7FE74EA8"/>
    <w:rsid w:val="7FEA49BA"/>
    <w:rsid w:val="7FF9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5"/>
    <w:next w:val="1"/>
    <w:unhideWhenUsed/>
    <w:qFormat/>
    <w:uiPriority w:val="0"/>
    <w:pPr>
      <w:spacing w:before="260" w:after="260" w:line="240" w:lineRule="auto"/>
      <w:outlineLvl w:val="2"/>
    </w:pPr>
    <w:rPr>
      <w:rFonts w:ascii="宋体" w:hAnsi="宋体" w:eastAsia="宋体" w:cs="Times New Roman"/>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3">
    <w:name w:val="Body Text Indent"/>
    <w:basedOn w:val="1"/>
    <w:next w:val="1"/>
    <w:qFormat/>
    <w:uiPriority w:val="99"/>
    <w:pPr>
      <w:ind w:left="2098"/>
    </w:pPr>
    <w:rPr>
      <w:color w:val="000000"/>
      <w:sz w:val="24"/>
    </w:rPr>
  </w:style>
  <w:style w:type="paragraph" w:styleId="6">
    <w:name w:val="Normal Indent"/>
    <w:basedOn w:val="1"/>
    <w:next w:val="7"/>
    <w:unhideWhenUsed/>
    <w:qFormat/>
    <w:uiPriority w:val="99"/>
    <w:pPr>
      <w:ind w:firstLine="420" w:firstLineChars="200"/>
    </w:pPr>
  </w:style>
  <w:style w:type="paragraph" w:styleId="7">
    <w:name w:val="Body Text"/>
    <w:basedOn w:val="1"/>
    <w:next w:val="8"/>
    <w:qFormat/>
    <w:uiPriority w:val="0"/>
    <w:pPr>
      <w:spacing w:line="360" w:lineRule="auto"/>
    </w:pPr>
    <w:rPr>
      <w:b/>
      <w:bCs/>
      <w:sz w:val="24"/>
    </w:r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line="360" w:lineRule="auto"/>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paragraph" w:customStyle="1" w:styleId="1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font11"/>
    <w:basedOn w:val="15"/>
    <w:qFormat/>
    <w:uiPriority w:val="0"/>
    <w:rPr>
      <w:rFonts w:hint="eastAsia" w:ascii="宋体" w:hAnsi="宋体" w:eastAsia="宋体" w:cs="宋体"/>
      <w:color w:val="000000"/>
      <w:sz w:val="24"/>
      <w:szCs w:val="24"/>
      <w:u w:val="none"/>
    </w:rPr>
  </w:style>
  <w:style w:type="character" w:customStyle="1" w:styleId="19">
    <w:name w:val="font21"/>
    <w:basedOn w:val="15"/>
    <w:qFormat/>
    <w:uiPriority w:val="0"/>
    <w:rPr>
      <w:rFonts w:hint="default" w:ascii="Times New Roman" w:hAnsi="Times New Roman" w:cs="Times New Roman"/>
      <w:color w:val="000000"/>
      <w:sz w:val="24"/>
      <w:szCs w:val="24"/>
      <w:u w:val="none"/>
    </w:rPr>
  </w:style>
  <w:style w:type="character" w:customStyle="1" w:styleId="20">
    <w:name w:val="font01"/>
    <w:basedOn w:val="15"/>
    <w:qFormat/>
    <w:uiPriority w:val="0"/>
    <w:rPr>
      <w:rFonts w:hint="eastAsia" w:ascii="宋体" w:hAnsi="宋体" w:eastAsia="宋体" w:cs="宋体"/>
      <w:color w:val="000000"/>
      <w:sz w:val="24"/>
      <w:szCs w:val="24"/>
      <w:u w:val="none"/>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3768</Words>
  <Characters>3863</Characters>
  <Lines>0</Lines>
  <Paragraphs>0</Paragraphs>
  <TotalTime>3</TotalTime>
  <ScaleCrop>false</ScaleCrop>
  <LinksUpToDate>false</LinksUpToDate>
  <CharactersWithSpaces>3908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林英浩</cp:lastModifiedBy>
  <cp:lastPrinted>2025-05-28T06:48:00Z</cp:lastPrinted>
  <dcterms:modified xsi:type="dcterms:W3CDTF">2025-06-18T06:40:39Z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921B880A3E3D421BB064DDBAE6855C9D</vt:lpwstr>
  </property>
  <property fmtid="{D5CDD505-2E9C-101B-9397-08002B2CF9AE}" pid="4" name="KSOTemplateDocerSaveRecord">
    <vt:lpwstr>eyJoZGlkIjoiZmUzODBlYmZlMWViNTIwZWIxNDRhZDRjZmI4NDE3MzUiLCJ1c2VySWQiOiI2OTc3ODExMjQifQ==</vt:lpwstr>
  </property>
</Properties>
</file>