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DCE29">
      <w:pPr>
        <w:pStyle w:val="19"/>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外科综合楼开办家具监理服务</w:t>
      </w:r>
      <w:r>
        <w:rPr>
          <w:rFonts w:hint="eastAsia" w:ascii="仿宋" w:hAnsi="仿宋" w:eastAsia="仿宋" w:cs="仿宋"/>
          <w:b/>
          <w:bCs/>
          <w:sz w:val="44"/>
          <w:szCs w:val="44"/>
          <w:highlight w:val="none"/>
        </w:rPr>
        <w:t>招标文件信息</w:t>
      </w:r>
    </w:p>
    <w:tbl>
      <w:tblPr>
        <w:tblStyle w:val="22"/>
        <w:tblW w:w="7938" w:type="dxa"/>
        <w:jc w:val="center"/>
        <w:tblCellSpacing w:w="0" w:type="dxa"/>
        <w:tblLayout w:type="fixed"/>
        <w:tblCellMar>
          <w:top w:w="45" w:type="dxa"/>
          <w:left w:w="45" w:type="dxa"/>
          <w:bottom w:w="45" w:type="dxa"/>
          <w:right w:w="45" w:type="dxa"/>
        </w:tblCellMar>
      </w:tblPr>
      <w:tblGrid>
        <w:gridCol w:w="2722"/>
        <w:gridCol w:w="5216"/>
      </w:tblGrid>
      <w:tr w14:paraId="2A59EB7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98B0165">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4FFBA800">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LGZXYYZBB20250703-1</w:t>
            </w:r>
          </w:p>
        </w:tc>
      </w:tr>
      <w:tr w14:paraId="5C5173C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DE0CA74">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5DB7F709">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外科综合楼开办家具监理服务</w:t>
            </w:r>
          </w:p>
        </w:tc>
      </w:tr>
      <w:tr w14:paraId="592A5E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BA7822A">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F792F44">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63F0CE8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E8338B7">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6ECB433">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14:paraId="7F3C4A5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AE26D41">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318567D2">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3034F62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197ABF3">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222BF26C">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51D990A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806E24C">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3375B2EF">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3759B63A">
      <w:pPr>
        <w:pStyle w:val="19"/>
        <w:jc w:val="center"/>
        <w:outlineLvl w:val="1"/>
        <w:rPr>
          <w:rFonts w:hint="eastAsia" w:ascii="仿宋" w:hAnsi="仿宋" w:eastAsia="仿宋" w:cs="仿宋"/>
          <w:sz w:val="24"/>
          <w:szCs w:val="24"/>
          <w:highlight w:val="none"/>
        </w:rPr>
      </w:pPr>
    </w:p>
    <w:p w14:paraId="597263DD">
      <w:pPr>
        <w:pStyle w:val="19"/>
        <w:jc w:val="center"/>
        <w:outlineLvl w:val="1"/>
        <w:rPr>
          <w:rFonts w:hint="eastAsia" w:ascii="仿宋" w:hAnsi="仿宋" w:eastAsia="仿宋" w:cs="仿宋"/>
          <w:sz w:val="24"/>
          <w:szCs w:val="24"/>
          <w:highlight w:val="none"/>
        </w:rPr>
      </w:pPr>
    </w:p>
    <w:p w14:paraId="4EC439A7">
      <w:pPr>
        <w:pStyle w:val="19"/>
        <w:jc w:val="center"/>
        <w:outlineLvl w:val="1"/>
        <w:rPr>
          <w:rFonts w:hint="eastAsia" w:ascii="仿宋" w:hAnsi="仿宋" w:eastAsia="仿宋" w:cs="仿宋"/>
          <w:sz w:val="24"/>
          <w:szCs w:val="24"/>
          <w:highlight w:val="none"/>
        </w:rPr>
      </w:pPr>
    </w:p>
    <w:p w14:paraId="1D4F9304">
      <w:pPr>
        <w:pStyle w:val="19"/>
        <w:widowControl/>
        <w:jc w:val="center"/>
        <w:outlineLvl w:val="1"/>
        <w:rPr>
          <w:rFonts w:hint="eastAsia" w:ascii="仿宋" w:hAnsi="仿宋" w:eastAsia="仿宋" w:cs="仿宋"/>
          <w:sz w:val="40"/>
          <w:szCs w:val="40"/>
          <w:highlight w:val="none"/>
        </w:rPr>
      </w:pPr>
    </w:p>
    <w:p w14:paraId="49FDE15A">
      <w:pPr>
        <w:pStyle w:val="19"/>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2548E6C9">
      <w:pPr>
        <w:pStyle w:val="19"/>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2"/>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D29D0B0">
      <w:pPr>
        <w:pStyle w:val="19"/>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22"/>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9"/>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9"/>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9"/>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BB91C9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84B0D2F">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5EC7F55">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2186FB8F">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E6A8C02">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59EC475E">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9"/>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9"/>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9"/>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9"/>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53"/>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53"/>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53"/>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0B2A8E6F">
      <w:pPr>
        <w:pStyle w:val="53"/>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14:paraId="06580FD6">
      <w:pPr>
        <w:pStyle w:val="19"/>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18174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541EA8">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8FF906">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7BA35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6AA74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7A7A7E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1812B810">
      <w:pPr>
        <w:pStyle w:val="19"/>
        <w:widowControl/>
        <w:spacing w:before="280" w:beforeAutospacing="0"/>
        <w:jc w:val="both"/>
        <w:outlineLvl w:val="1"/>
        <w:rPr>
          <w:rFonts w:hint="eastAsia" w:ascii="仿宋" w:hAnsi="仿宋" w:eastAsia="仿宋" w:cs="仿宋"/>
          <w:sz w:val="40"/>
          <w:szCs w:val="40"/>
          <w:highlight w:val="none"/>
        </w:rPr>
      </w:pPr>
    </w:p>
    <w:p w14:paraId="68C3DD90">
      <w:pPr>
        <w:pStyle w:val="19"/>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424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1F34AD3F">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503290A3">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4C4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C51DD0C">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54BB53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687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2CE4DF46">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210D065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C83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2B8BEC0">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22829D9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6493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893E81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7588E54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BF0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D79222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5817B3C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7CE9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D626DA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7615C29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0382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343B5C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1143BF2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79E0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A7984B4">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495BAFD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4A51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A5F718D">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46A4E2B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4320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57C4A6E8">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8E017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4F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99577F1">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61D69F2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6108584D">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00B02D94">
      <w:pPr>
        <w:pStyle w:val="19"/>
        <w:jc w:val="center"/>
        <w:outlineLvl w:val="1"/>
        <w:rPr>
          <w:rFonts w:hint="eastAsia" w:ascii="仿宋" w:hAnsi="仿宋" w:eastAsia="仿宋" w:cs="仿宋"/>
          <w:sz w:val="40"/>
          <w:szCs w:val="40"/>
          <w:highlight w:val="none"/>
        </w:rPr>
      </w:pPr>
    </w:p>
    <w:p w14:paraId="6D4C19A4">
      <w:pPr>
        <w:pStyle w:val="19"/>
        <w:jc w:val="center"/>
        <w:outlineLvl w:val="1"/>
        <w:rPr>
          <w:rFonts w:hint="eastAsia" w:ascii="仿宋" w:hAnsi="仿宋" w:eastAsia="仿宋" w:cs="仿宋"/>
          <w:sz w:val="24"/>
          <w:szCs w:val="24"/>
          <w:highlight w:val="none"/>
        </w:rPr>
      </w:pPr>
    </w:p>
    <w:p w14:paraId="7CDEB892">
      <w:pPr>
        <w:pStyle w:val="19"/>
        <w:jc w:val="center"/>
        <w:outlineLvl w:val="1"/>
        <w:rPr>
          <w:rFonts w:hint="eastAsia" w:ascii="仿宋" w:hAnsi="仿宋" w:eastAsia="仿宋" w:cs="仿宋"/>
          <w:sz w:val="24"/>
          <w:szCs w:val="24"/>
          <w:highlight w:val="none"/>
        </w:rPr>
      </w:pPr>
    </w:p>
    <w:p w14:paraId="0BFE93A7">
      <w:pPr>
        <w:pStyle w:val="19"/>
        <w:spacing w:after="1134"/>
        <w:jc w:val="center"/>
        <w:outlineLvl w:val="1"/>
        <w:rPr>
          <w:rFonts w:hint="eastAsia" w:ascii="仿宋" w:hAnsi="仿宋" w:eastAsia="仿宋" w:cs="仿宋"/>
          <w:b/>
          <w:bCs/>
          <w:sz w:val="32"/>
          <w:szCs w:val="32"/>
          <w:highlight w:val="none"/>
        </w:rPr>
      </w:pPr>
    </w:p>
    <w:p w14:paraId="212B163D">
      <w:pPr>
        <w:pStyle w:val="19"/>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22"/>
        <w:tblW w:w="4998" w:type="pct"/>
        <w:jc w:val="center"/>
        <w:tblCellSpacing w:w="0" w:type="dxa"/>
        <w:tblLayout w:type="autofit"/>
        <w:tblCellMar>
          <w:top w:w="45" w:type="dxa"/>
          <w:left w:w="45" w:type="dxa"/>
          <w:bottom w:w="45" w:type="dxa"/>
          <w:right w:w="45" w:type="dxa"/>
        </w:tblCellMar>
      </w:tblPr>
      <w:tblGrid>
        <w:gridCol w:w="42"/>
        <w:gridCol w:w="34"/>
        <w:gridCol w:w="500"/>
        <w:gridCol w:w="524"/>
        <w:gridCol w:w="932"/>
        <w:gridCol w:w="935"/>
        <w:gridCol w:w="3502"/>
        <w:gridCol w:w="121"/>
        <w:gridCol w:w="1724"/>
        <w:gridCol w:w="79"/>
      </w:tblGrid>
      <w:tr w14:paraId="68082C99">
        <w:trPr>
          <w:gridBefore w:val="1"/>
          <w:gridAfter w:val="2"/>
          <w:wBefore w:w="25" w:type="pct"/>
          <w:wAfter w:w="1074" w:type="pct"/>
          <w:tblCellSpacing w:w="0" w:type="dxa"/>
          <w:jc w:val="center"/>
        </w:trPr>
        <w:tc>
          <w:tcPr>
            <w:tcW w:w="3828" w:type="pct"/>
            <w:gridSpan w:val="6"/>
            <w:tcBorders>
              <w:top w:val="nil"/>
              <w:left w:val="nil"/>
              <w:bottom w:val="nil"/>
              <w:right w:val="nil"/>
            </w:tcBorders>
            <w:vAlign w:val="center"/>
          </w:tcPr>
          <w:p w14:paraId="613F9465">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2" w:type="pct"/>
            <w:tcBorders>
              <w:top w:val="nil"/>
              <w:left w:val="nil"/>
              <w:bottom w:val="nil"/>
              <w:right w:val="nil"/>
            </w:tcBorders>
            <w:vAlign w:val="center"/>
          </w:tcPr>
          <w:p w14:paraId="675DD092">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14:paraId="79CCA0BB">
        <w:tblPrEx>
          <w:tblCellMar>
            <w:top w:w="45" w:type="dxa"/>
            <w:left w:w="45" w:type="dxa"/>
            <w:bottom w:w="45" w:type="dxa"/>
            <w:right w:w="45" w:type="dxa"/>
          </w:tblCellMar>
        </w:tblPrEx>
        <w:trPr>
          <w:gridBefore w:val="2"/>
          <w:gridAfter w:val="1"/>
          <w:wBefore w:w="45" w:type="pct"/>
          <w:wAfter w:w="47" w:type="pct"/>
          <w:trHeight w:val="90" w:hRule="atLeast"/>
          <w:tblCellSpacing w:w="0" w:type="dxa"/>
          <w:jc w:val="center"/>
        </w:trPr>
        <w:tc>
          <w:tcPr>
            <w:tcW w:w="4907" w:type="pct"/>
            <w:gridSpan w:val="7"/>
            <w:tcBorders>
              <w:top w:val="nil"/>
              <w:left w:val="nil"/>
              <w:bottom w:val="nil"/>
              <w:right w:val="nil"/>
            </w:tcBorders>
            <w:vAlign w:val="center"/>
          </w:tcPr>
          <w:tbl>
            <w:tblPr>
              <w:tblStyle w:val="22"/>
              <w:tblW w:w="5000" w:type="pct"/>
              <w:jc w:val="center"/>
              <w:tblCellSpacing w:w="0" w:type="dxa"/>
              <w:tblLayout w:type="autofit"/>
              <w:tblCellMar>
                <w:top w:w="45" w:type="dxa"/>
                <w:left w:w="45" w:type="dxa"/>
                <w:bottom w:w="45" w:type="dxa"/>
                <w:right w:w="45" w:type="dxa"/>
              </w:tblCellMar>
            </w:tblPr>
            <w:tblGrid>
              <w:gridCol w:w="8148"/>
            </w:tblGrid>
            <w:tr w14:paraId="04AFC33F">
              <w:trPr>
                <w:tblCellSpacing w:w="0" w:type="dxa"/>
                <w:jc w:val="center"/>
              </w:trPr>
              <w:tc>
                <w:tcPr>
                  <w:tcW w:w="5000" w:type="pct"/>
                  <w:tcBorders>
                    <w:top w:val="nil"/>
                    <w:left w:val="nil"/>
                    <w:bottom w:val="nil"/>
                    <w:right w:val="nil"/>
                  </w:tcBorders>
                  <w:vAlign w:val="center"/>
                </w:tcPr>
                <w:p w14:paraId="60FC1F0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01E842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31C79F2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6922B95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7708F9D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3F50041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18F1292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70AA3F0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EFBCAC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5619C77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9AE103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bookmarkStart w:id="0" w:name="_Hlk71970739"/>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投标人提供的服务全部均由优惠主体承接，则对其投标总价给予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%的扣除，用扣除后的价格参与评审。满足多项优惠政策的企业，不重复享受多项价格扣除政策。</w:t>
                  </w:r>
                </w:p>
                <w:p w14:paraId="1C2EAF0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优惠主体承接是指提供服务的人员为中小企业依照《中华人民共和国劳动合同法》订立劳动合同的从业人员。</w:t>
                  </w:r>
                </w:p>
                <w:p w14:paraId="014B247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color w:val="auto"/>
                      <w:kern w:val="0"/>
                      <w:sz w:val="24"/>
                      <w:szCs w:val="24"/>
                      <w:highlight w:val="none"/>
                      <w:u w:val="single"/>
                      <w:lang w:val="en-US" w:eastAsia="zh-CN"/>
                    </w:rPr>
                    <w:t>其他未列明行</w:t>
                  </w:r>
                  <w:r>
                    <w:rPr>
                      <w:rFonts w:hint="eastAsia" w:ascii="仿宋" w:hAnsi="仿宋" w:eastAsia="仿宋" w:cs="仿宋"/>
                      <w:kern w:val="0"/>
                      <w:szCs w:val="24"/>
                      <w:u w:val="single"/>
                    </w:rPr>
                    <w:t>业</w:t>
                  </w:r>
                  <w:r>
                    <w:rPr>
                      <w:rFonts w:hint="eastAsia" w:ascii="仿宋" w:hAnsi="仿宋" w:eastAsia="仿宋" w:cs="仿宋"/>
                      <w:color w:val="auto"/>
                      <w:kern w:val="0"/>
                      <w:sz w:val="24"/>
                      <w:szCs w:val="24"/>
                      <w:highlight w:val="none"/>
                      <w:u w:val="single"/>
                      <w:lang w:val="en-US" w:eastAsia="zh-CN"/>
                    </w:rPr>
                    <w:t>。</w:t>
                  </w:r>
                  <w:bookmarkEnd w:id="0"/>
                </w:p>
                <w:p w14:paraId="64BA244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05EEA6E0">
                  <w:pPr>
                    <w:pStyle w:val="19"/>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5D4F04A7">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tcBorders>
              <w:top w:val="single" w:color="auto" w:sz="4" w:space="0"/>
              <w:left w:val="single" w:color="auto" w:sz="4" w:space="0"/>
              <w:bottom w:val="single" w:color="auto" w:sz="4" w:space="0"/>
              <w:right w:val="single" w:color="auto" w:sz="4" w:space="0"/>
            </w:tcBorders>
            <w:vAlign w:val="center"/>
          </w:tcPr>
          <w:p w14:paraId="58014F2E">
            <w:pPr>
              <w:pStyle w:val="17"/>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44D7068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3A5D672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tcBorders>
              <w:top w:val="single" w:color="auto" w:sz="4" w:space="0"/>
              <w:left w:val="single" w:color="auto" w:sz="4" w:space="0"/>
              <w:bottom w:val="single" w:color="auto" w:sz="4" w:space="0"/>
              <w:right w:val="single" w:color="auto" w:sz="4" w:space="0"/>
            </w:tcBorders>
            <w:vAlign w:val="center"/>
          </w:tcPr>
          <w:p w14:paraId="4CAF3673">
            <w:pPr>
              <w:pStyle w:val="17"/>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60065A1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0F50FDC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10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vMerge w:val="restart"/>
            <w:tcBorders>
              <w:top w:val="single" w:color="auto" w:sz="4" w:space="0"/>
              <w:left w:val="single" w:color="auto" w:sz="4" w:space="0"/>
              <w:right w:val="single" w:color="auto" w:sz="4" w:space="0"/>
            </w:tcBorders>
            <w:vAlign w:val="center"/>
          </w:tcPr>
          <w:p w14:paraId="7D49DFD6">
            <w:pPr>
              <w:pStyle w:val="17"/>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202D36A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6E7B692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45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3" w:type="pct"/>
            <w:gridSpan w:val="3"/>
            <w:vMerge w:val="continue"/>
            <w:tcBorders>
              <w:left w:val="single" w:color="auto" w:sz="4" w:space="0"/>
              <w:right w:val="single" w:color="auto" w:sz="4" w:space="0"/>
            </w:tcBorders>
            <w:vAlign w:val="center"/>
          </w:tcPr>
          <w:p w14:paraId="03609B4F">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FF53D04">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14:paraId="7541348E">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7" w:type="pct"/>
            <w:tcBorders>
              <w:top w:val="single" w:color="auto" w:sz="4" w:space="0"/>
              <w:left w:val="single" w:color="auto" w:sz="4" w:space="0"/>
              <w:bottom w:val="single" w:color="auto" w:sz="4" w:space="0"/>
              <w:right w:val="single" w:color="auto" w:sz="4" w:space="0"/>
            </w:tcBorders>
            <w:vAlign w:val="center"/>
          </w:tcPr>
          <w:p w14:paraId="3DDE6069">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4E3F2CC5">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168AA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3" w:type="pct"/>
            <w:gridSpan w:val="3"/>
            <w:vMerge w:val="continue"/>
            <w:tcBorders>
              <w:left w:val="single" w:color="auto" w:sz="4" w:space="0"/>
              <w:right w:val="single" w:color="auto" w:sz="4" w:space="0"/>
            </w:tcBorders>
            <w:vAlign w:val="center"/>
          </w:tcPr>
          <w:p w14:paraId="07A4211D">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630DF9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28B9031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p>
        </w:tc>
        <w:tc>
          <w:tcPr>
            <w:tcW w:w="557" w:type="pct"/>
            <w:tcBorders>
              <w:top w:val="single" w:color="auto" w:sz="4" w:space="0"/>
              <w:left w:val="single" w:color="auto" w:sz="4" w:space="0"/>
              <w:bottom w:val="single" w:color="auto" w:sz="4" w:space="0"/>
              <w:right w:val="single" w:color="auto" w:sz="4" w:space="0"/>
            </w:tcBorders>
            <w:vAlign w:val="center"/>
          </w:tcPr>
          <w:p w14:paraId="135A2F4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14523479">
            <w:pPr>
              <w:keepNext w:val="0"/>
              <w:keepLines w:val="0"/>
              <w:pageBreakBefore w:val="0"/>
              <w:numPr>
                <w:ilvl w:val="0"/>
                <w:numId w:val="1"/>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05AC98CF">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投标人按照招标需求，针对本项目制定服务方案，方案要符合医院实际，管理目标清晰，组织架构科学合理，服务方案包括但不限于以下内容：</w:t>
            </w:r>
          </w:p>
          <w:p w14:paraId="789CFC25">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1、投标人对本项目的理解，针对“项目背景”的总体目标和建设内容进行说明；</w:t>
            </w:r>
          </w:p>
          <w:p w14:paraId="68B0419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2、为本项目制定管理措施制度（包含管理方式、工作计划等）具有可操作性，符合本项目要求。 </w:t>
            </w:r>
          </w:p>
          <w:p w14:paraId="477CAB74">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14:paraId="5AAC5099">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4.5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zh-CN"/>
              </w:rPr>
              <w:t>分，其他不得分。</w:t>
            </w:r>
          </w:p>
          <w:p w14:paraId="16049EC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2.在此基础上，专家根据投标人的具体响应内容，按照以下量化的评审因素指标进一步评审</w:t>
            </w:r>
            <w:r>
              <w:rPr>
                <w:rFonts w:hint="eastAsia" w:ascii="仿宋" w:hAnsi="仿宋" w:eastAsia="仿宋" w:cs="仿宋"/>
                <w:sz w:val="24"/>
                <w:szCs w:val="24"/>
                <w:highlight w:val="none"/>
                <w:lang w:val="zh-CN"/>
              </w:rPr>
              <w:t>：</w:t>
            </w:r>
          </w:p>
          <w:p w14:paraId="07196B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方案整体科学合理、针对性强、可操作性强，评审为优得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p w14:paraId="019D99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方案较合理、有一定针对性、一定可操作性，评审为良得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p>
          <w:p w14:paraId="1538F4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方案较一般、针对性一般、可操作性一般，评审为中得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29FF640A">
            <w:pPr>
              <w:keepNext w:val="0"/>
              <w:keepLines w:val="0"/>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方案较差、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针对性、无可操作性，评审为差得</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分。</w:t>
            </w:r>
          </w:p>
          <w:p w14:paraId="0799B4E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60309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343" w:type="pct"/>
            <w:gridSpan w:val="3"/>
            <w:vMerge w:val="continue"/>
            <w:tcBorders>
              <w:left w:val="single" w:color="auto" w:sz="4" w:space="0"/>
              <w:right w:val="single" w:color="auto" w:sz="4" w:space="0"/>
            </w:tcBorders>
            <w:vAlign w:val="center"/>
          </w:tcPr>
          <w:p w14:paraId="4CB18A71">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03AB9CC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55" w:type="pct"/>
            <w:tcBorders>
              <w:top w:val="single" w:color="auto" w:sz="4" w:space="0"/>
              <w:left w:val="single" w:color="auto" w:sz="4" w:space="0"/>
              <w:bottom w:val="single" w:color="auto" w:sz="4" w:space="0"/>
              <w:right w:val="single" w:color="auto" w:sz="4" w:space="0"/>
            </w:tcBorders>
            <w:vAlign w:val="center"/>
          </w:tcPr>
          <w:p w14:paraId="5DD3737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项目重点难点分析、应对措施及相关的合理化建议</w:t>
            </w:r>
          </w:p>
        </w:tc>
        <w:tc>
          <w:tcPr>
            <w:tcW w:w="557" w:type="pct"/>
            <w:tcBorders>
              <w:top w:val="single" w:color="auto" w:sz="4" w:space="0"/>
              <w:left w:val="single" w:color="auto" w:sz="4" w:space="0"/>
              <w:bottom w:val="single" w:color="auto" w:sz="4" w:space="0"/>
              <w:right w:val="single" w:color="auto" w:sz="4" w:space="0"/>
            </w:tcBorders>
            <w:vAlign w:val="center"/>
          </w:tcPr>
          <w:p w14:paraId="505D8D7B">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109DC8AC">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3AA7E36">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lang w:val="en-US" w:eastAsia="zh-CN"/>
              </w:rPr>
              <w:t>投标人按照招标需求，针对本项目制定</w:t>
            </w:r>
            <w:r>
              <w:rPr>
                <w:rFonts w:hint="eastAsia" w:ascii="仿宋" w:hAnsi="仿宋" w:eastAsia="仿宋" w:cs="仿宋"/>
                <w:sz w:val="24"/>
                <w:szCs w:val="24"/>
                <w:highlight w:val="none"/>
              </w:rPr>
              <w:t>项目重点难点分析、应对措施及相关的合理化建议</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包括但不限于以下内容：</w:t>
            </w:r>
          </w:p>
          <w:p w14:paraId="2CFF9A4A">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1.项目重点难点分析；</w:t>
            </w:r>
          </w:p>
          <w:p w14:paraId="1D5308BA">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2.应对措施；</w:t>
            </w:r>
          </w:p>
          <w:p w14:paraId="1CD01D73">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3.相关的合理化建议。</w:t>
            </w:r>
          </w:p>
          <w:p w14:paraId="4F7E454E">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）评分依据：</w:t>
            </w:r>
          </w:p>
          <w:p w14:paraId="1DE15C5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zh-CN"/>
              </w:rPr>
              <w:t>分，其他不得分。</w:t>
            </w:r>
          </w:p>
          <w:p w14:paraId="5F26D390">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在此基础上，专家根据投标人的具体响应内容，按照以下量化的评审因素指标进一步评审</w:t>
            </w:r>
            <w:r>
              <w:rPr>
                <w:rFonts w:hint="eastAsia" w:ascii="仿宋" w:hAnsi="仿宋" w:eastAsia="仿宋" w:cs="仿宋"/>
                <w:sz w:val="24"/>
                <w:szCs w:val="24"/>
                <w:highlight w:val="none"/>
                <w:lang w:val="zh-CN"/>
              </w:rPr>
              <w:t>：</w:t>
            </w:r>
          </w:p>
          <w:p w14:paraId="4291F8F8">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方案符合实际、完整、规范、思路清晰，内容合理性强。评价为优</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6</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1BA5104D">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方案较符合实际、较完整规范、思路较清晰，内容合理性较强。评价为良</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20EC4048">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方案较普通、完整性规范性一般，思路不够清晰，内容合理性一般。评价为中</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加</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14:paraId="76F9D29F">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方案不完整、不规范，思路不清晰，内容合理性较差或未提供。评价为差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不得分。</w:t>
            </w:r>
          </w:p>
          <w:p w14:paraId="7A4EBCEA">
            <w:pPr>
              <w:pStyle w:val="8"/>
              <w:keepNext w:val="0"/>
              <w:keepLines w:val="0"/>
              <w:suppressLineNumbers w:val="0"/>
              <w:spacing w:before="0" w:beforeAutospacing="0" w:after="0" w:afterAutospacing="0"/>
              <w:ind w:left="0" w:right="0"/>
              <w:rPr>
                <w:rFonts w:hint="eastAsi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48BA59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343" w:type="pct"/>
            <w:gridSpan w:val="3"/>
            <w:vMerge w:val="continue"/>
            <w:tcBorders>
              <w:left w:val="single" w:color="auto" w:sz="4" w:space="0"/>
              <w:bottom w:val="single" w:color="auto" w:sz="4" w:space="0"/>
              <w:right w:val="single" w:color="auto" w:sz="4" w:space="0"/>
            </w:tcBorders>
            <w:vAlign w:val="center"/>
          </w:tcPr>
          <w:p w14:paraId="193ED9F3">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C8B5600">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2A351F74">
            <w:pPr>
              <w:keepNext w:val="0"/>
              <w:keepLines w:val="0"/>
              <w:pageBreakBefore w:val="0"/>
              <w:suppressLineNumbers w:val="0"/>
              <w:kinsoku/>
              <w:wordWrap/>
              <w:overflowPunct/>
              <w:topLinePunct w:val="0"/>
              <w:bidi w:val="0"/>
              <w:snapToGrid/>
              <w:spacing w:before="0" w:beforeAutospacing="0" w:after="0" w:afterAutospacing="0" w:line="380" w:lineRule="exact"/>
              <w:ind w:left="0" w:leftChars="0" w:right="0" w:rightChars="0"/>
              <w:jc w:val="left"/>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val="zh-CN"/>
              </w:rPr>
              <w:t>质量保障</w:t>
            </w:r>
            <w:r>
              <w:rPr>
                <w:rFonts w:hint="eastAsia" w:ascii="仿宋" w:hAnsi="仿宋" w:eastAsia="仿宋" w:cs="仿宋"/>
                <w:sz w:val="24"/>
                <w:szCs w:val="24"/>
                <w:highlight w:val="none"/>
                <w:lang w:val="en-US" w:eastAsia="zh-CN"/>
              </w:rPr>
              <w:t>措施及</w:t>
            </w:r>
            <w:r>
              <w:rPr>
                <w:rFonts w:hint="eastAsia" w:ascii="仿宋" w:hAnsi="仿宋" w:eastAsia="仿宋" w:cs="仿宋"/>
                <w:sz w:val="24"/>
                <w:szCs w:val="24"/>
                <w:highlight w:val="none"/>
                <w:lang w:val="zh-CN"/>
              </w:rPr>
              <w:t>方案</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E33E49D">
            <w:pPr>
              <w:keepNext w:val="0"/>
              <w:keepLines w:val="0"/>
              <w:pageBreakBefore w:val="0"/>
              <w:suppressLineNumbers w:val="0"/>
              <w:kinsoku/>
              <w:wordWrap/>
              <w:overflowPunct/>
              <w:topLinePunct w:val="0"/>
              <w:bidi w:val="0"/>
              <w:snapToGrid/>
              <w:spacing w:before="0" w:beforeAutospacing="0" w:after="0" w:afterAutospacing="0" w:line="380" w:lineRule="exact"/>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323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D1AAB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（一）评分内容：</w:t>
            </w:r>
          </w:p>
          <w:p w14:paraId="3EBED019">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投标人按照招标需求，针对本项目制定</w:t>
            </w:r>
            <w:r>
              <w:rPr>
                <w:rFonts w:hint="eastAsia" w:ascii="仿宋" w:hAnsi="仿宋" w:eastAsia="仿宋" w:cs="仿宋"/>
                <w:sz w:val="24"/>
                <w:szCs w:val="24"/>
                <w:highlight w:val="none"/>
              </w:rPr>
              <w:t>质量保障措施及方案</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包括但不限于以下内容：</w:t>
            </w:r>
          </w:p>
          <w:p w14:paraId="41C62353">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组织管理（包含人员管理制度说明、项目管理机制说明）；</w:t>
            </w:r>
          </w:p>
          <w:p w14:paraId="692E8C6F">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风险防控（对可能出现的风险情况进行预测，且对应说明防控措施）；</w:t>
            </w:r>
          </w:p>
          <w:p w14:paraId="038DF15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进度控制（</w:t>
            </w:r>
            <w:r>
              <w:rPr>
                <w:rFonts w:hint="eastAsia" w:ascii="仿宋" w:hAnsi="仿宋" w:eastAsia="仿宋" w:cs="仿宋"/>
                <w:sz w:val="24"/>
                <w:szCs w:val="24"/>
                <w:highlight w:val="none"/>
                <w:lang w:val="en-US" w:eastAsia="zh-CN"/>
              </w:rPr>
              <w:t>对各阶段人员安排</w:t>
            </w:r>
            <w:r>
              <w:rPr>
                <w:rFonts w:hint="eastAsia" w:ascii="仿宋" w:hAnsi="仿宋" w:eastAsia="仿宋" w:cs="仿宋"/>
                <w:sz w:val="24"/>
                <w:szCs w:val="24"/>
                <w:highlight w:val="none"/>
              </w:rPr>
              <w:t>、时间等内容进行详细描述）；</w:t>
            </w:r>
          </w:p>
          <w:p w14:paraId="59FE58D6">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保密措施制度详细说明</w:t>
            </w:r>
            <w:r>
              <w:rPr>
                <w:rFonts w:hint="eastAsia" w:ascii="仿宋" w:hAnsi="仿宋" w:eastAsia="仿宋" w:cs="仿宋"/>
                <w:sz w:val="24"/>
                <w:szCs w:val="24"/>
                <w:highlight w:val="none"/>
                <w:lang w:val="en-US" w:eastAsia="zh-CN"/>
              </w:rPr>
              <w:t>；</w:t>
            </w:r>
          </w:p>
          <w:p w14:paraId="5D046BA4">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质量控制；</w:t>
            </w:r>
          </w:p>
          <w:p w14:paraId="79EA1C7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信息管理</w:t>
            </w:r>
            <w:r>
              <w:rPr>
                <w:rFonts w:hint="eastAsia" w:ascii="仿宋" w:hAnsi="仿宋" w:eastAsia="仿宋" w:cs="仿宋"/>
                <w:sz w:val="24"/>
                <w:szCs w:val="24"/>
                <w:highlight w:val="none"/>
                <w:lang w:val="en-US" w:eastAsia="zh-CN"/>
              </w:rPr>
              <w:t>；</w:t>
            </w:r>
          </w:p>
          <w:p w14:paraId="6CC9E180">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8.培训能力。</w:t>
            </w:r>
          </w:p>
          <w:p w14:paraId="5F5BC07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评分依据：</w:t>
            </w:r>
          </w:p>
          <w:p w14:paraId="1AACB891">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0.5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zh-CN"/>
              </w:rPr>
              <w:t>分，其他不得分。</w:t>
            </w:r>
          </w:p>
          <w:p w14:paraId="7EDD4E8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在此基础上，专家根据投标人的具体响应内容，按照以下量化的评审因素指标进一步评审</w:t>
            </w:r>
            <w:r>
              <w:rPr>
                <w:rFonts w:hint="eastAsia" w:ascii="仿宋" w:hAnsi="仿宋" w:eastAsia="仿宋" w:cs="仿宋"/>
                <w:sz w:val="24"/>
                <w:szCs w:val="24"/>
                <w:highlight w:val="none"/>
                <w:lang w:val="zh-CN"/>
              </w:rPr>
              <w:t>：</w:t>
            </w:r>
          </w:p>
          <w:p w14:paraId="1E8F0307">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方案整体科学合理、针对性强、可操作性强，评审为优得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6E95B4A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方案较合理、有一定针对性、一定可操作性，评审为良得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6932BF38">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方案较一般、针对性一般、可操作性一般，评审为中得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4EFD0C63">
            <w:pPr>
              <w:keepNext w:val="0"/>
              <w:keepLines w:val="0"/>
              <w:suppressLineNumbers w:val="0"/>
              <w:spacing w:before="0" w:beforeAutospacing="0" w:after="0" w:afterAutospacing="0"/>
              <w:ind w:left="0" w:right="0"/>
              <w:rPr>
                <w:rFonts w:hint="default"/>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方案较差、</w:t>
            </w: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rPr>
              <w:t>针对性、无可操作性，评审为差得</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p w14:paraId="1F4661A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1D4C1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343" w:type="pct"/>
            <w:gridSpan w:val="3"/>
            <w:vMerge w:val="continue"/>
            <w:tcBorders>
              <w:left w:val="single" w:color="auto" w:sz="4" w:space="0"/>
              <w:bottom w:val="single" w:color="auto" w:sz="4" w:space="0"/>
              <w:right w:val="single" w:color="auto" w:sz="4" w:space="0"/>
            </w:tcBorders>
            <w:vAlign w:val="center"/>
          </w:tcPr>
          <w:p w14:paraId="4DFA920B">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341D794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55" w:type="pct"/>
            <w:tcBorders>
              <w:top w:val="single" w:color="auto" w:sz="4" w:space="0"/>
              <w:left w:val="single" w:color="auto" w:sz="4" w:space="0"/>
              <w:bottom w:val="single" w:color="auto" w:sz="4" w:space="0"/>
              <w:right w:val="single" w:color="auto" w:sz="4" w:space="0"/>
            </w:tcBorders>
            <w:vAlign w:val="center"/>
          </w:tcPr>
          <w:p w14:paraId="1F5BBA37">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557" w:type="pct"/>
            <w:tcBorders>
              <w:top w:val="single" w:color="auto" w:sz="4" w:space="0"/>
              <w:left w:val="single" w:color="auto" w:sz="4" w:space="0"/>
              <w:bottom w:val="single" w:color="auto" w:sz="4" w:space="0"/>
              <w:right w:val="single" w:color="auto" w:sz="4" w:space="0"/>
            </w:tcBorders>
            <w:vAlign w:val="center"/>
          </w:tcPr>
          <w:p w14:paraId="6BD9F27E">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highlight w:val="none"/>
                <w:lang w:val="en-US" w:eastAsia="zh-CN"/>
              </w:rPr>
              <w:t>5</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2B716DF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6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（一）评分内容：</w:t>
            </w:r>
          </w:p>
          <w:p w14:paraId="7BD93FE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投标人按照招标需求，针对本项目制定服务方案，包括但不限于以下内容：</w:t>
            </w:r>
          </w:p>
          <w:p w14:paraId="14DBAEA6">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较完善的</w:t>
            </w:r>
            <w:r>
              <w:rPr>
                <w:rFonts w:hint="eastAsia" w:ascii="仿宋" w:hAnsi="仿宋" w:eastAsia="仿宋" w:cs="仿宋"/>
                <w:sz w:val="24"/>
                <w:szCs w:val="24"/>
                <w:highlight w:val="none"/>
              </w:rPr>
              <w:t>售后服务体系；</w:t>
            </w:r>
          </w:p>
          <w:p w14:paraId="04AECDB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2.售后技术服务承诺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项目服务期满后，中标人继续提供质量维护监督服务（监督期1年）</w:t>
            </w:r>
            <w:r>
              <w:rPr>
                <w:rFonts w:hint="eastAsia" w:ascii="仿宋" w:hAnsi="仿宋" w:eastAsia="仿宋" w:cs="仿宋"/>
                <w:sz w:val="24"/>
                <w:szCs w:val="24"/>
                <w:highlight w:val="none"/>
                <w:lang w:eastAsia="zh-CN"/>
              </w:rPr>
              <w:t>。</w:t>
            </w:r>
          </w:p>
          <w:p w14:paraId="564CDC63">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w:t>
            </w:r>
            <w:r>
              <w:rPr>
                <w:rFonts w:hint="eastAsia" w:ascii="仿宋" w:hAnsi="仿宋" w:eastAsia="仿宋" w:cs="仿宋"/>
                <w:b/>
                <w:bCs/>
                <w:color w:val="000000"/>
                <w:sz w:val="24"/>
                <w:szCs w:val="24"/>
                <w:highlight w:val="none"/>
              </w:rPr>
              <w:t>依据</w:t>
            </w:r>
            <w:r>
              <w:rPr>
                <w:rFonts w:hint="eastAsia" w:ascii="仿宋" w:hAnsi="仿宋" w:eastAsia="仿宋" w:cs="仿宋"/>
                <w:b/>
                <w:bCs/>
                <w:sz w:val="24"/>
                <w:szCs w:val="24"/>
                <w:highlight w:val="none"/>
              </w:rPr>
              <w:t>：</w:t>
            </w:r>
          </w:p>
          <w:p w14:paraId="63BC1F8C">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分，其他不得分。</w:t>
            </w:r>
            <w:r>
              <w:rPr>
                <w:rFonts w:hint="eastAsia" w:ascii="仿宋" w:hAnsi="仿宋" w:eastAsia="仿宋" w:cs="仿宋"/>
                <w:sz w:val="24"/>
                <w:szCs w:val="24"/>
                <w:highlight w:val="none"/>
              </w:rPr>
              <w:t xml:space="preserve"> </w:t>
            </w:r>
          </w:p>
          <w:p w14:paraId="04D4693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在此基础上，</w:t>
            </w:r>
            <w:r>
              <w:rPr>
                <w:rFonts w:hint="eastAsia" w:ascii="仿宋" w:hAnsi="仿宋" w:eastAsia="仿宋" w:cs="仿宋"/>
                <w:color w:val="000000"/>
                <w:sz w:val="24"/>
                <w:szCs w:val="24"/>
                <w:highlight w:val="none"/>
                <w:lang w:val="en-US" w:eastAsia="zh-CN"/>
              </w:rPr>
              <w:t>专家根据投标人的具体响应内容，按照以下量化的评审因素指标进一步评审</w:t>
            </w:r>
            <w:r>
              <w:rPr>
                <w:rFonts w:hint="eastAsia" w:ascii="仿宋" w:hAnsi="仿宋" w:eastAsia="仿宋" w:cs="仿宋"/>
                <w:sz w:val="24"/>
                <w:szCs w:val="24"/>
                <w:highlight w:val="none"/>
                <w:lang w:val="zh-CN"/>
              </w:rPr>
              <w:t>：</w:t>
            </w:r>
          </w:p>
          <w:p w14:paraId="1B4DF24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方案整体科学合理、针对性强、可操作性强，评审为优得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193C8955">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方案较合理、有一定针对性、一定可操作性，评审为良得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p w14:paraId="11E499E4">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方案较一般、针对性一般、可操作性一般，评审为中得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2FDD278C">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方案较差、</w:t>
            </w: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rPr>
              <w:t>针对性、无可操作性，评审为差得</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p w14:paraId="0ABA7C02">
            <w:pPr>
              <w:pStyle w:val="8"/>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14:paraId="7356E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343" w:type="pct"/>
            <w:gridSpan w:val="3"/>
            <w:vMerge w:val="restart"/>
            <w:tcBorders>
              <w:top w:val="single" w:color="auto" w:sz="4" w:space="0"/>
              <w:left w:val="single" w:color="auto" w:sz="4" w:space="0"/>
              <w:bottom w:val="single" w:color="auto" w:sz="4" w:space="0"/>
              <w:right w:val="single" w:color="auto" w:sz="4" w:space="0"/>
            </w:tcBorders>
            <w:vAlign w:val="center"/>
          </w:tcPr>
          <w:p w14:paraId="031DCB41">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1EDF404D">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02EE40DE">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40</w:t>
            </w:r>
          </w:p>
        </w:tc>
      </w:tr>
      <w:tr w14:paraId="4CEB6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077237F8">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49F855F2">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55" w:type="pct"/>
            <w:tcBorders>
              <w:top w:val="single" w:color="auto" w:sz="4" w:space="0"/>
              <w:left w:val="single" w:color="auto" w:sz="4" w:space="0"/>
              <w:bottom w:val="single" w:color="auto" w:sz="4" w:space="0"/>
              <w:right w:val="single" w:color="auto" w:sz="4" w:space="0"/>
            </w:tcBorders>
            <w:vAlign w:val="center"/>
          </w:tcPr>
          <w:p w14:paraId="5C5B69B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7" w:type="pct"/>
            <w:tcBorders>
              <w:top w:val="single" w:color="auto" w:sz="4" w:space="0"/>
              <w:left w:val="single" w:color="auto" w:sz="4" w:space="0"/>
              <w:bottom w:val="single" w:color="auto" w:sz="4" w:space="0"/>
              <w:right w:val="single" w:color="auto" w:sz="4" w:space="0"/>
            </w:tcBorders>
            <w:vAlign w:val="center"/>
          </w:tcPr>
          <w:p w14:paraId="4A9BD4FA">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1F6A576F">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1A9B3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3C8C8288">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1BAAB5C5">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446C904D">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557" w:type="pct"/>
            <w:tcBorders>
              <w:top w:val="single" w:color="auto" w:sz="4" w:space="0"/>
              <w:left w:val="single" w:color="auto" w:sz="4" w:space="0"/>
              <w:bottom w:val="single" w:color="auto" w:sz="4" w:space="0"/>
              <w:right w:val="single" w:color="auto" w:sz="4" w:space="0"/>
            </w:tcBorders>
            <w:vAlign w:val="center"/>
          </w:tcPr>
          <w:p w14:paraId="31D39D7A">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3232" w:type="pct"/>
            <w:gridSpan w:val="4"/>
            <w:tcBorders>
              <w:top w:val="single" w:color="auto" w:sz="4" w:space="0"/>
              <w:left w:val="single" w:color="auto" w:sz="4" w:space="0"/>
              <w:bottom w:val="single" w:color="auto" w:sz="4" w:space="0"/>
              <w:right w:val="single" w:color="auto" w:sz="4" w:space="0"/>
            </w:tcBorders>
            <w:vAlign w:val="top"/>
          </w:tcPr>
          <w:p w14:paraId="098C4CF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14:paraId="0F4751A8">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投标人提供从</w:t>
            </w: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月1日至本项目投标截止日（以合同签订日期为准）</w:t>
            </w:r>
            <w:r>
              <w:rPr>
                <w:rFonts w:hint="eastAsia" w:ascii="仿宋" w:hAnsi="仿宋" w:eastAsia="仿宋" w:cs="仿宋"/>
                <w:sz w:val="24"/>
                <w:szCs w:val="24"/>
                <w:highlight w:val="none"/>
                <w:lang w:val="en-US" w:eastAsia="zh-CN"/>
              </w:rPr>
              <w:t>同类</w:t>
            </w:r>
            <w:r>
              <w:rPr>
                <w:rFonts w:hint="eastAsia" w:ascii="仿宋" w:hAnsi="仿宋" w:eastAsia="仿宋" w:cs="仿宋"/>
                <w:sz w:val="24"/>
                <w:szCs w:val="24"/>
                <w:highlight w:val="none"/>
              </w:rPr>
              <w:t>项目业绩，每提供1项得</w:t>
            </w:r>
            <w:r>
              <w:rPr>
                <w:rFonts w:hint="eastAsia" w:ascii="仿宋" w:hAnsi="仿宋" w:eastAsia="仿宋" w:cs="仿宋"/>
                <w:color w:val="000000"/>
                <w:sz w:val="24"/>
                <w:szCs w:val="24"/>
                <w:highlight w:val="none"/>
                <w:lang w:val="en-US" w:eastAsia="zh-CN"/>
              </w:rPr>
              <w:t>3</w:t>
            </w:r>
            <w:r>
              <w:rPr>
                <w:rFonts w:hint="eastAsia" w:ascii="仿宋" w:hAnsi="仿宋" w:eastAsia="仿宋" w:cs="仿宋"/>
                <w:sz w:val="24"/>
                <w:szCs w:val="24"/>
                <w:highlight w:val="none"/>
              </w:rPr>
              <w:t>分，最高得</w:t>
            </w:r>
            <w:r>
              <w:rPr>
                <w:rFonts w:hint="eastAsia" w:ascii="仿宋" w:hAnsi="仿宋" w:eastAsia="仿宋" w:cs="仿宋"/>
                <w:color w:val="000000"/>
                <w:sz w:val="24"/>
                <w:szCs w:val="24"/>
                <w:highlight w:val="none"/>
                <w:lang w:val="en-US" w:eastAsia="zh-CN"/>
              </w:rPr>
              <w:t>9</w:t>
            </w:r>
            <w:r>
              <w:rPr>
                <w:rFonts w:hint="eastAsia" w:ascii="仿宋" w:hAnsi="仿宋" w:eastAsia="仿宋" w:cs="仿宋"/>
                <w:sz w:val="24"/>
                <w:szCs w:val="24"/>
                <w:highlight w:val="none"/>
              </w:rPr>
              <w:t>分。注：长期续签合同只计算一个业绩。</w:t>
            </w:r>
          </w:p>
          <w:p w14:paraId="26FF0C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14:paraId="2B0808F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1.提供合同关键页（应包含但不限于合同签约主体名称、项目（合同）名称、服务内容、签订合同时间、签约主体公章等关键信息）。</w:t>
            </w:r>
          </w:p>
          <w:p w14:paraId="66AD956B">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14:paraId="13D0F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3B38A6BA">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62CA7DF2">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5" w:type="pct"/>
            <w:tcBorders>
              <w:top w:val="single" w:color="auto" w:sz="4" w:space="0"/>
              <w:left w:val="single" w:color="auto" w:sz="4" w:space="0"/>
              <w:bottom w:val="single" w:color="auto" w:sz="4" w:space="0"/>
              <w:right w:val="single" w:color="auto" w:sz="4" w:space="0"/>
            </w:tcBorders>
            <w:vAlign w:val="center"/>
          </w:tcPr>
          <w:p w14:paraId="0F5A22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履约评价</w:t>
            </w:r>
          </w:p>
        </w:tc>
        <w:tc>
          <w:tcPr>
            <w:tcW w:w="557" w:type="pct"/>
            <w:tcBorders>
              <w:top w:val="single" w:color="auto" w:sz="4" w:space="0"/>
              <w:left w:val="single" w:color="auto" w:sz="4" w:space="0"/>
              <w:bottom w:val="single" w:color="auto" w:sz="4" w:space="0"/>
              <w:right w:val="single" w:color="auto" w:sz="4" w:space="0"/>
            </w:tcBorders>
            <w:vAlign w:val="center"/>
          </w:tcPr>
          <w:p w14:paraId="6311F9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6E058B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 评分内容：</w:t>
            </w:r>
          </w:p>
          <w:p w14:paraId="0CEF1A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在上述有效的同类项目业绩中经采购单位出具的履约评价材料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履约评价结果为“优”或“优秀”或“满意”或“合格”或者履约评价材料中优评价的，每提供1份得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同一个有效业绩只计算一个履约评价</w:t>
            </w:r>
            <w:r>
              <w:rPr>
                <w:rFonts w:hint="eastAsia" w:ascii="仿宋" w:hAnsi="仿宋" w:eastAsia="仿宋" w:cs="仿宋"/>
                <w:color w:val="000000"/>
                <w:sz w:val="24"/>
                <w:szCs w:val="24"/>
                <w:highlight w:val="none"/>
                <w:lang w:eastAsia="zh-CN"/>
              </w:rPr>
              <w:t>）</w:t>
            </w:r>
          </w:p>
          <w:p w14:paraId="5F000D1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p>
          <w:p w14:paraId="2D3E5B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履约评价证明（加盖甲方公章或业务章）。</w:t>
            </w:r>
          </w:p>
          <w:p w14:paraId="500144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以上资料均要求提供，原件备查。评分中出现无证明资料或专家无法凭所提供资料判断是否得分的情况，一律作不得分处理。</w:t>
            </w:r>
          </w:p>
        </w:tc>
      </w:tr>
      <w:tr w14:paraId="6DC9B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2FA1201D">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05DC7BD">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1975D6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认证情况</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AAE63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sz w:val="24"/>
                <w:highlight w:val="none"/>
                <w:lang w:val="en-US" w:eastAsia="zh-CN"/>
              </w:rPr>
              <w:t>3</w:t>
            </w:r>
          </w:p>
        </w:tc>
        <w:tc>
          <w:tcPr>
            <w:tcW w:w="323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68AF6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（一）评分内容：</w:t>
            </w:r>
          </w:p>
          <w:p w14:paraId="3F127DF9">
            <w:pPr>
              <w:pStyle w:val="1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auto"/>
                <w:spacing w:val="0"/>
                <w:sz w:val="24"/>
                <w:szCs w:val="24"/>
                <w:highlight w:val="none"/>
                <w:lang w:val="zh-CN" w:bidi="zh-CN"/>
              </w:rPr>
              <w:t>投标人具有质量管理体系认证证书</w:t>
            </w:r>
            <w:r>
              <w:rPr>
                <w:rFonts w:hint="eastAsia" w:ascii="仿宋" w:hAnsi="仿宋" w:eastAsia="仿宋" w:cs="仿宋"/>
                <w:color w:val="000000"/>
                <w:sz w:val="24"/>
                <w:szCs w:val="24"/>
                <w:highlight w:val="none"/>
                <w:lang w:val="en-US" w:eastAsia="zh-CN"/>
              </w:rPr>
              <w:t>的得3分，最高得3</w:t>
            </w:r>
            <w:r>
              <w:rPr>
                <w:rFonts w:hint="eastAsia" w:ascii="仿宋" w:hAnsi="仿宋" w:eastAsia="仿宋" w:cs="仿宋"/>
                <w:color w:val="000000"/>
                <w:sz w:val="24"/>
                <w:szCs w:val="24"/>
                <w:highlight w:val="none"/>
                <w:lang w:val="zh-CN"/>
              </w:rPr>
              <w:t>分。</w:t>
            </w:r>
          </w:p>
          <w:p w14:paraId="1FA53F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p>
          <w:p w14:paraId="00D357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提供以下证明材料：</w:t>
            </w:r>
          </w:p>
          <w:p w14:paraId="444B795D">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有效</w:t>
            </w:r>
            <w:r>
              <w:rPr>
                <w:rFonts w:hint="eastAsia" w:ascii="仿宋" w:hAnsi="仿宋" w:eastAsia="仿宋" w:cs="仿宋"/>
                <w:color w:val="000000"/>
                <w:sz w:val="24"/>
                <w:szCs w:val="24"/>
                <w:highlight w:val="none"/>
                <w:lang w:val="en-US" w:eastAsia="zh-CN"/>
              </w:rPr>
              <w:t>内</w:t>
            </w:r>
            <w:r>
              <w:rPr>
                <w:rFonts w:hint="eastAsia" w:ascii="仿宋" w:hAnsi="仿宋" w:eastAsia="仿宋" w:cs="仿宋"/>
                <w:color w:val="000000"/>
                <w:sz w:val="24"/>
                <w:szCs w:val="24"/>
                <w:highlight w:val="none"/>
              </w:rPr>
              <w:t>的认证证书，如无法证明证书在有效期内的，不得分；</w:t>
            </w:r>
          </w:p>
          <w:p w14:paraId="2710692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2.全国认证认可信息公共服务平台（http://cx.cnca.cn）认证信息查询截图（截图需显示证书状态为有效），未按要求提供或提供不清晰导致专家无法判断的，不得分。</w:t>
            </w:r>
          </w:p>
        </w:tc>
      </w:tr>
      <w:tr w14:paraId="104B7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0DEE94EA">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936BBA7">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4BB2977A">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拟安排本项目</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（仅限一人）</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36D72BA">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10</w:t>
            </w:r>
          </w:p>
        </w:tc>
        <w:tc>
          <w:tcPr>
            <w:tcW w:w="323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6CB67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14:paraId="45C2D8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kern w:val="2"/>
                <w:sz w:val="24"/>
                <w:szCs w:val="24"/>
                <w:highlight w:val="none"/>
                <w:lang w:val="en-US" w:eastAsia="zh-CN" w:bidi="ar-SA"/>
              </w:rPr>
              <w:t>拟安排本项目负责人为投标人自有员工（以社保为准），否则本项不得分，在此基础上根据以下情况进行打分：</w:t>
            </w:r>
          </w:p>
          <w:p w14:paraId="501A83FA">
            <w:pPr>
              <w:pStyle w:val="49"/>
              <w:keepNext w:val="0"/>
              <w:keepLines w:val="0"/>
              <w:numPr>
                <w:ilvl w:val="0"/>
                <w:numId w:val="3"/>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具有本科或以上学历证书的，得1分；</w:t>
            </w:r>
          </w:p>
          <w:p w14:paraId="0A14D9E8">
            <w:pPr>
              <w:pStyle w:val="49"/>
              <w:keepNext w:val="0"/>
              <w:keepLines w:val="0"/>
              <w:numPr>
                <w:ilvl w:val="0"/>
                <w:numId w:val="3"/>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具有人力资源和社会保障</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颁发的质量</w:t>
            </w:r>
            <w:r>
              <w:rPr>
                <w:rFonts w:hint="eastAsia" w:ascii="仿宋" w:hAnsi="仿宋" w:eastAsia="仿宋" w:cs="仿宋"/>
                <w:color w:val="auto"/>
                <w:sz w:val="24"/>
                <w:szCs w:val="24"/>
                <w:highlight w:val="none"/>
                <w:lang w:val="en-US" w:eastAsia="zh-CN"/>
              </w:rPr>
              <w:t>专业</w:t>
            </w:r>
            <w:r>
              <w:rPr>
                <w:rFonts w:hint="eastAsia" w:ascii="仿宋" w:hAnsi="仿宋" w:eastAsia="仿宋" w:cs="仿宋"/>
                <w:color w:val="auto"/>
                <w:sz w:val="24"/>
                <w:szCs w:val="24"/>
                <w:highlight w:val="none"/>
              </w:rPr>
              <w:t>中级职称的，得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分；具有人力资源和社会保障</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颁发的质量</w:t>
            </w:r>
            <w:r>
              <w:rPr>
                <w:rFonts w:hint="eastAsia" w:ascii="仿宋" w:hAnsi="仿宋" w:eastAsia="仿宋" w:cs="仿宋"/>
                <w:color w:val="auto"/>
                <w:sz w:val="24"/>
                <w:szCs w:val="24"/>
                <w:highlight w:val="none"/>
                <w:lang w:val="en-US" w:eastAsia="zh-CN"/>
              </w:rPr>
              <w:t>专业</w:t>
            </w:r>
            <w:r>
              <w:rPr>
                <w:rFonts w:hint="eastAsia" w:ascii="仿宋" w:hAnsi="仿宋" w:eastAsia="仿宋" w:cs="仿宋"/>
                <w:color w:val="auto"/>
                <w:sz w:val="24"/>
                <w:szCs w:val="24"/>
                <w:highlight w:val="none"/>
              </w:rPr>
              <w:t>高级（含副高）或以上职称的，得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本小项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3041DB8A">
            <w:pPr>
              <w:pStyle w:val="49"/>
              <w:keepNext w:val="0"/>
              <w:keepLines w:val="0"/>
              <w:numPr>
                <w:ilvl w:val="0"/>
                <w:numId w:val="0"/>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年或以上家具监理管理类工作经验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得3分</w:t>
            </w:r>
            <w:r>
              <w:rPr>
                <w:rFonts w:hint="eastAsia" w:ascii="仿宋" w:hAnsi="仿宋" w:eastAsia="仿宋" w:cs="仿宋"/>
                <w:color w:val="auto"/>
                <w:sz w:val="24"/>
                <w:szCs w:val="24"/>
                <w:highlight w:val="none"/>
              </w:rPr>
              <w:t>。</w:t>
            </w:r>
          </w:p>
          <w:p w14:paraId="43A9B33E">
            <w:pPr>
              <w:pStyle w:val="49"/>
              <w:keepNext w:val="0"/>
              <w:keepLines w:val="0"/>
              <w:numPr>
                <w:ilvl w:val="0"/>
                <w:numId w:val="0"/>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项累计得分，最高得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4D18ED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14:paraId="77584AA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提供人员的资质证书复印件或扫描件。</w:t>
            </w:r>
            <w:r>
              <w:rPr>
                <w:rFonts w:hint="eastAsia" w:ascii="仿宋" w:hAnsi="仿宋" w:eastAsia="仿宋" w:cs="仿宋"/>
                <w:color w:val="auto"/>
                <w:sz w:val="24"/>
                <w:szCs w:val="24"/>
                <w:highlight w:val="none"/>
              </w:rPr>
              <w:t>若人员证书为协会颁发的，则还需要提供该协会在全国社会组织信用信息公示平台（网址https://xxgs.chinanpo.mca.gov.cn)的查询“正常”页面截图。</w:t>
            </w:r>
          </w:p>
          <w:p w14:paraId="35FAD00C">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kern w:val="2"/>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kern w:val="2"/>
                <w:sz w:val="24"/>
                <w:szCs w:val="24"/>
                <w:highlight w:val="none"/>
              </w:rPr>
              <w:t>提供上述人员</w:t>
            </w:r>
            <w:r>
              <w:rPr>
                <w:rFonts w:hint="eastAsia" w:ascii="仿宋" w:hAnsi="仿宋" w:eastAsia="仿宋" w:cs="仿宋"/>
                <w:kern w:val="2"/>
                <w:sz w:val="24"/>
                <w:szCs w:val="24"/>
                <w:highlight w:val="none"/>
                <w:lang w:val="en-US" w:eastAsia="zh-CN"/>
              </w:rPr>
              <w:t>最</w:t>
            </w:r>
            <w:r>
              <w:rPr>
                <w:rFonts w:hint="eastAsia" w:ascii="仿宋" w:hAnsi="仿宋" w:eastAsia="仿宋" w:cs="仿宋"/>
                <w:kern w:val="2"/>
                <w:sz w:val="24"/>
                <w:szCs w:val="24"/>
                <w:highlight w:val="none"/>
              </w:rPr>
              <w:t>近一个月投标</w:t>
            </w:r>
            <w:r>
              <w:rPr>
                <w:rFonts w:hint="eastAsia" w:ascii="仿宋" w:hAnsi="仿宋" w:eastAsia="仿宋" w:cs="仿宋"/>
                <w:kern w:val="2"/>
                <w:sz w:val="24"/>
                <w:szCs w:val="24"/>
                <w:highlight w:val="none"/>
                <w:lang w:val="en-US" w:eastAsia="zh-CN"/>
              </w:rPr>
              <w:t>人</w:t>
            </w:r>
            <w:r>
              <w:rPr>
                <w:rFonts w:hint="eastAsia" w:ascii="仿宋" w:hAnsi="仿宋" w:eastAsia="仿宋" w:cs="仿宋"/>
                <w:kern w:val="2"/>
                <w:sz w:val="24"/>
                <w:szCs w:val="24"/>
                <w:highlight w:val="none"/>
              </w:rPr>
              <w:t>为其购买的社保证明（由于社保部门或税务部</w:t>
            </w:r>
            <w:r>
              <w:rPr>
                <w:rFonts w:hint="eastAsia" w:ascii="仿宋" w:hAnsi="仿宋" w:eastAsia="仿宋" w:cs="仿宋"/>
                <w:kern w:val="2"/>
                <w:sz w:val="24"/>
                <w:szCs w:val="24"/>
                <w:highlight w:val="none"/>
                <w:lang w:eastAsia="zh-CN"/>
              </w:rPr>
              <w:t>门的</w:t>
            </w:r>
            <w:r>
              <w:rPr>
                <w:rFonts w:hint="eastAsia" w:ascii="仿宋" w:hAnsi="仿宋" w:eastAsia="仿宋" w:cs="仿宋"/>
                <w:kern w:val="2"/>
                <w:sz w:val="24"/>
                <w:szCs w:val="24"/>
                <w:highlight w:val="none"/>
              </w:rPr>
              <w:t>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w:t>
            </w:r>
          </w:p>
          <w:p w14:paraId="47A97524">
            <w:pPr>
              <w:keepNext w:val="0"/>
              <w:keepLines w:val="0"/>
              <w:pageBreakBefore w:val="0"/>
              <w:numPr>
                <w:ilvl w:val="0"/>
                <w:numId w:val="4"/>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lang w:eastAsia="zh-CN"/>
              </w:rPr>
              <w:t>工作经验证明</w:t>
            </w:r>
            <w:r>
              <w:rPr>
                <w:rFonts w:hint="eastAsia" w:ascii="仿宋" w:hAnsi="仿宋" w:eastAsia="仿宋" w:cs="仿宋"/>
                <w:b w:val="0"/>
                <w:bCs w:val="0"/>
                <w:kern w:val="2"/>
                <w:sz w:val="24"/>
                <w:szCs w:val="24"/>
                <w:highlight w:val="none"/>
              </w:rPr>
              <w:t>：</w:t>
            </w:r>
            <w:r>
              <w:rPr>
                <w:rFonts w:hint="eastAsia" w:ascii="仿宋" w:hAnsi="仿宋" w:eastAsia="仿宋" w:cs="仿宋"/>
                <w:color w:val="auto"/>
                <w:sz w:val="24"/>
                <w:szCs w:val="24"/>
                <w:highlight w:val="none"/>
                <w:lang w:val="zh-CN" w:bidi="zh-CN"/>
              </w:rPr>
              <w:t>要求提供家具监理项目合同，合同签署单位要求为投标人，并</w:t>
            </w:r>
            <w:r>
              <w:rPr>
                <w:rFonts w:hint="eastAsia" w:ascii="仿宋" w:hAnsi="仿宋" w:eastAsia="仿宋" w:cs="仿宋"/>
                <w:kern w:val="2"/>
                <w:sz w:val="24"/>
                <w:szCs w:val="24"/>
                <w:highlight w:val="none"/>
              </w:rPr>
              <w:t>提供项目合同关键信息（含合同签约主体名称、项目（合同）名称、服务内容、人员名单（需体现</w:t>
            </w:r>
            <w:r>
              <w:rPr>
                <w:rFonts w:hint="eastAsia" w:ascii="仿宋" w:hAnsi="仿宋" w:eastAsia="仿宋" w:cs="仿宋"/>
                <w:kern w:val="2"/>
                <w:sz w:val="24"/>
                <w:szCs w:val="24"/>
                <w:highlight w:val="none"/>
                <w:lang w:val="en-US" w:eastAsia="zh-CN"/>
              </w:rPr>
              <w:t>项目负责人姓名</w:t>
            </w:r>
            <w:r>
              <w:rPr>
                <w:rFonts w:hint="eastAsia" w:ascii="仿宋" w:hAnsi="仿宋" w:eastAsia="仿宋" w:cs="仿宋"/>
                <w:kern w:val="2"/>
                <w:sz w:val="24"/>
                <w:szCs w:val="24"/>
                <w:highlight w:val="none"/>
              </w:rPr>
              <w:t>）、签订合同时间、签约主体公章等关键信息）作为得分依据，通过合同关键信息无法判断是否得分的，还须同时提供项目合同甲方出具的盖公章（或业务章）证明文件。</w:t>
            </w:r>
          </w:p>
          <w:p w14:paraId="73A5DE24">
            <w:pPr>
              <w:pStyle w:val="19"/>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lang w:val="en-US" w:eastAsia="zh-CN"/>
              </w:rPr>
              <w:t>4</w:t>
            </w:r>
            <w:r>
              <w:rPr>
                <w:rFonts w:hint="eastAsia" w:ascii="仿宋" w:hAnsi="仿宋" w:eastAsia="仿宋" w:cs="仿宋"/>
                <w:kern w:val="2"/>
                <w:highlight w:val="none"/>
              </w:rPr>
              <w:t>.</w:t>
            </w:r>
            <w:r>
              <w:rPr>
                <w:rFonts w:hint="eastAsia" w:ascii="仿宋" w:hAnsi="仿宋" w:eastAsia="仿宋" w:cs="仿宋"/>
                <w:b w:val="0"/>
                <w:bCs w:val="0"/>
                <w:kern w:val="2"/>
                <w:highlight w:val="none"/>
              </w:rPr>
              <w:t>学历证明</w:t>
            </w:r>
            <w:r>
              <w:rPr>
                <w:rFonts w:hint="eastAsia" w:ascii="仿宋" w:hAnsi="仿宋" w:eastAsia="仿宋" w:cs="仿宋"/>
                <w:kern w:val="2"/>
                <w:highlight w:val="none"/>
              </w:rPr>
              <w:t>：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w:t>
            </w:r>
            <w:r>
              <w:rPr>
                <w:rFonts w:hint="eastAsia" w:ascii="仿宋" w:hAnsi="仿宋" w:eastAsia="仿宋" w:cs="仿宋"/>
                <w:kern w:val="2"/>
                <w:highlight w:val="none"/>
                <w:lang w:eastAsia="zh-CN"/>
              </w:rPr>
              <w:t>认证</w:t>
            </w:r>
            <w:r>
              <w:rPr>
                <w:rFonts w:hint="eastAsia" w:ascii="仿宋" w:hAnsi="仿宋" w:eastAsia="仿宋" w:cs="仿宋"/>
                <w:kern w:val="2"/>
                <w:highlight w:val="none"/>
              </w:rPr>
              <w:t>证书扫描件【或教育部留学服务中心网站（http://zwfw.cscse.edu.cn/）在线查询截图】也予以认可。</w:t>
            </w:r>
          </w:p>
          <w:p w14:paraId="1A168D0F">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未提供或提供的不符合或提供不清晰导致无法判断的均不得分。</w:t>
            </w:r>
          </w:p>
        </w:tc>
      </w:tr>
      <w:tr w14:paraId="36B59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4650631A">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A74A5B4">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0BEFFD4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拟安排本项目</w:t>
            </w:r>
            <w:r>
              <w:rPr>
                <w:rFonts w:hint="eastAsia" w:ascii="仿宋" w:hAnsi="仿宋" w:eastAsia="仿宋" w:cs="仿宋"/>
                <w:kern w:val="2"/>
                <w:sz w:val="24"/>
                <w:szCs w:val="24"/>
                <w:highlight w:val="none"/>
                <w:lang w:val="en-US" w:eastAsia="zh-CN" w:bidi="ar-SA"/>
              </w:rPr>
              <w:t>团队</w:t>
            </w:r>
            <w:r>
              <w:rPr>
                <w:rFonts w:hint="eastAsia" w:ascii="仿宋" w:hAnsi="仿宋" w:eastAsia="仿宋" w:cs="仿宋"/>
                <w:sz w:val="24"/>
                <w:szCs w:val="24"/>
                <w:highlight w:val="none"/>
              </w:rPr>
              <w:t>成员</w:t>
            </w:r>
            <w:r>
              <w:rPr>
                <w:rFonts w:hint="eastAsia" w:ascii="仿宋" w:hAnsi="仿宋" w:eastAsia="仿宋" w:cs="仿宋"/>
                <w:sz w:val="24"/>
                <w:szCs w:val="24"/>
                <w:highlight w:val="none"/>
                <w:lang w:val="en-US" w:eastAsia="zh-CN"/>
              </w:rPr>
              <w:t>（项目负责人除外）</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A6FCAA0">
            <w:pPr>
              <w:keepNext w:val="0"/>
              <w:keepLines w:val="0"/>
              <w:suppressLineNumbers w:val="0"/>
              <w:wordWrap w:val="0"/>
              <w:adjustRightInd w:val="0"/>
              <w:snapToGrid w:val="0"/>
              <w:spacing w:before="0" w:beforeAutospacing="0" w:after="0" w:afterAutospacing="0"/>
              <w:ind w:left="0" w:leftChars="0" w:right="0" w:rightChars="0"/>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15</w:t>
            </w:r>
          </w:p>
        </w:tc>
        <w:tc>
          <w:tcPr>
            <w:tcW w:w="323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9D66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14:paraId="1DB234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拟安排的项目团队成员为投标人自有员工（以社保为准），否则本项不得分，在此基础上根据以下情况进行打分：</w:t>
            </w:r>
          </w:p>
          <w:p w14:paraId="40C1E3C6">
            <w:pPr>
              <w:pStyle w:val="49"/>
              <w:keepNext w:val="0"/>
              <w:keepLines w:val="0"/>
              <w:numPr>
                <w:ilvl w:val="0"/>
                <w:numId w:val="0"/>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技术人员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木材科学与工程相关专业本科或以上学历的，每</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1人得2分，最高得6分；</w:t>
            </w:r>
          </w:p>
          <w:p w14:paraId="22A4FB4B">
            <w:pPr>
              <w:pStyle w:val="49"/>
              <w:keepNext w:val="0"/>
              <w:keepLines w:val="0"/>
              <w:numPr>
                <w:ilvl w:val="0"/>
                <w:numId w:val="0"/>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.项目管理</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具有家具监理项目经验，每</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1人得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C1D075C">
            <w:pPr>
              <w:pStyle w:val="49"/>
              <w:keepNext w:val="0"/>
              <w:keepLines w:val="0"/>
              <w:numPr>
                <w:ilvl w:val="0"/>
                <w:numId w:val="0"/>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.质量服务人员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具有人力资源和社会保障</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颁发的标准化</w:t>
            </w:r>
            <w:r>
              <w:rPr>
                <w:rFonts w:hint="eastAsia" w:ascii="仿宋" w:hAnsi="仿宋" w:eastAsia="仿宋" w:cs="仿宋"/>
                <w:color w:val="auto"/>
                <w:sz w:val="24"/>
                <w:szCs w:val="24"/>
                <w:highlight w:val="none"/>
                <w:lang w:val="en-US" w:eastAsia="zh-CN"/>
              </w:rPr>
              <w:t>计量质量专业或</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val="en-US" w:eastAsia="zh-CN"/>
              </w:rPr>
              <w:t>专业</w:t>
            </w:r>
            <w:r>
              <w:rPr>
                <w:rFonts w:hint="eastAsia" w:ascii="仿宋" w:hAnsi="仿宋" w:eastAsia="仿宋" w:cs="仿宋"/>
                <w:color w:val="auto"/>
                <w:sz w:val="24"/>
                <w:szCs w:val="24"/>
                <w:highlight w:val="none"/>
              </w:rPr>
              <w:t>中级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以上技术资格职称证书的，每</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1人得1分，最高得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3827C0A0">
            <w:pPr>
              <w:pStyle w:val="49"/>
              <w:keepNext w:val="0"/>
              <w:keepLines w:val="0"/>
              <w:numPr>
                <w:ilvl w:val="0"/>
                <w:numId w:val="0"/>
              </w:numPr>
              <w:suppressLineNumbers w:val="0"/>
              <w:spacing w:before="3" w:beforeAutospacing="0" w:after="0" w:afterAutospacing="0" w:line="380" w:lineRule="exact"/>
              <w:ind w:left="0" w:right="7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.抽样人员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有有效的省质监部门或省质量检验协会颁发的抽样员证书的，每</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1人得1分，最高得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CAEE4C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备注：以上不同岗位人员不得为同一人员</w:t>
            </w:r>
          </w:p>
          <w:p w14:paraId="7E7A30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14:paraId="2FDF6562">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kern w:val="2"/>
                <w:highlight w:val="none"/>
              </w:rPr>
              <w:t>学历证明</w:t>
            </w:r>
            <w:r>
              <w:rPr>
                <w:rFonts w:hint="eastAsia" w:ascii="仿宋" w:hAnsi="仿宋" w:eastAsia="仿宋" w:cs="仿宋"/>
                <w:kern w:val="2"/>
                <w:highlight w:val="none"/>
              </w:rPr>
              <w:t>：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w:t>
            </w:r>
            <w:r>
              <w:rPr>
                <w:rFonts w:hint="eastAsia" w:ascii="仿宋" w:hAnsi="仿宋" w:eastAsia="仿宋" w:cs="仿宋"/>
                <w:kern w:val="2"/>
                <w:highlight w:val="none"/>
                <w:lang w:eastAsia="zh-CN"/>
              </w:rPr>
              <w:t>认证</w:t>
            </w:r>
            <w:r>
              <w:rPr>
                <w:rFonts w:hint="eastAsia" w:ascii="仿宋" w:hAnsi="仿宋" w:eastAsia="仿宋" w:cs="仿宋"/>
                <w:kern w:val="2"/>
                <w:highlight w:val="none"/>
              </w:rPr>
              <w:t>证书扫描件【或教育部留学服务中心网站（http://zwfw.cscse.edu.cn/）在线查询截图】也予以认可。</w:t>
            </w:r>
          </w:p>
          <w:p w14:paraId="191381CB">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供人员的资质证书复印件或扫描件。同一成员具有多种证书，不可重复得分。若人员证书为协会颁发的，则还需要提供该协会在全国社会组织信用信息公示平台（网址https://xxgs.chinanpo.mca.gov.cn)的查询“正常”页面截图。</w:t>
            </w:r>
          </w:p>
          <w:p w14:paraId="0EC26D17">
            <w:pPr>
              <w:keepNext w:val="0"/>
              <w:keepLines w:val="0"/>
              <w:numPr>
                <w:ilvl w:val="0"/>
                <w:numId w:val="0"/>
              </w:numPr>
              <w:suppressLineNumbers w:val="0"/>
              <w:adjustRightInd w:val="0"/>
              <w:snapToGrid w:val="0"/>
              <w:spacing w:before="0" w:beforeAutospacing="0" w:after="0" w:afterAutospacing="0" w:line="380" w:lineRule="exact"/>
              <w:ind w:left="0" w:right="0"/>
              <w:jc w:val="left"/>
              <w:rPr>
                <w:rFonts w:hint="eastAsia"/>
              </w:rPr>
            </w:pPr>
            <w:r>
              <w:rPr>
                <w:rFonts w:hint="eastAsia" w:ascii="宋体" w:hAnsi="宋体"/>
                <w:sz w:val="24"/>
                <w:lang w:val="en-US" w:eastAsia="zh-CN"/>
              </w:rPr>
              <w:t>3</w:t>
            </w:r>
            <w:r>
              <w:rPr>
                <w:rFonts w:hint="eastAsia" w:ascii="仿宋" w:hAnsi="仿宋" w:eastAsia="仿宋" w:cs="仿宋"/>
                <w:color w:val="auto"/>
                <w:sz w:val="24"/>
                <w:szCs w:val="24"/>
                <w:highlight w:val="none"/>
                <w:lang w:val="zh-CN" w:eastAsia="zh-CN" w:bidi="zh-CN"/>
              </w:rPr>
              <w:t>.</w:t>
            </w:r>
            <w:r>
              <w:rPr>
                <w:rFonts w:hint="eastAsia" w:ascii="仿宋" w:hAnsi="仿宋" w:eastAsia="仿宋" w:cs="仿宋"/>
                <w:b w:val="0"/>
                <w:bCs w:val="0"/>
                <w:kern w:val="2"/>
                <w:sz w:val="24"/>
                <w:szCs w:val="24"/>
                <w:highlight w:val="none"/>
                <w:lang w:eastAsia="zh-CN"/>
              </w:rPr>
              <w:t>工作经验证明</w:t>
            </w:r>
            <w:r>
              <w:rPr>
                <w:rFonts w:hint="eastAsia" w:ascii="仿宋" w:hAnsi="仿宋" w:eastAsia="仿宋" w:cs="仿宋"/>
                <w:b w:val="0"/>
                <w:bCs w:val="0"/>
                <w:kern w:val="2"/>
                <w:sz w:val="24"/>
                <w:szCs w:val="24"/>
                <w:highlight w:val="none"/>
              </w:rPr>
              <w:t>：</w:t>
            </w:r>
            <w:r>
              <w:rPr>
                <w:rFonts w:hint="eastAsia" w:ascii="仿宋" w:hAnsi="仿宋" w:eastAsia="仿宋" w:cs="仿宋"/>
                <w:color w:val="auto"/>
                <w:sz w:val="24"/>
                <w:szCs w:val="24"/>
                <w:highlight w:val="none"/>
                <w:lang w:val="zh-CN" w:bidi="zh-CN"/>
              </w:rPr>
              <w:t>要求提供家具监理项目合同，合同签署单位要求为投标人，并</w:t>
            </w:r>
            <w:r>
              <w:rPr>
                <w:rFonts w:hint="eastAsia" w:ascii="仿宋" w:hAnsi="仿宋" w:eastAsia="仿宋" w:cs="仿宋"/>
                <w:kern w:val="2"/>
                <w:sz w:val="24"/>
                <w:szCs w:val="24"/>
                <w:highlight w:val="none"/>
              </w:rPr>
              <w:t>提供项目合同关键信息（含合同签约主体名称、项目（合同）名称、服务内容、人员名单（需体现</w:t>
            </w:r>
            <w:r>
              <w:rPr>
                <w:rFonts w:hint="eastAsia" w:ascii="仿宋" w:hAnsi="仿宋" w:eastAsia="仿宋" w:cs="仿宋"/>
                <w:kern w:val="2"/>
                <w:sz w:val="24"/>
                <w:szCs w:val="24"/>
                <w:highlight w:val="none"/>
                <w:lang w:val="en-US" w:eastAsia="zh-CN"/>
              </w:rPr>
              <w:t>项目管理人员姓名</w:t>
            </w:r>
            <w:r>
              <w:rPr>
                <w:rFonts w:hint="eastAsia" w:ascii="仿宋" w:hAnsi="仿宋" w:eastAsia="仿宋" w:cs="仿宋"/>
                <w:kern w:val="2"/>
                <w:sz w:val="24"/>
                <w:szCs w:val="24"/>
                <w:highlight w:val="none"/>
              </w:rPr>
              <w:t>）、签订合同时间、签约主体公章等关键信息）作为得分依据，通过合同关键信息无法判断是否得分的，还须同时提供项目合同甲方出具的盖公章（或业务章）证明文件。</w:t>
            </w:r>
          </w:p>
          <w:p w14:paraId="0B38377F">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kern w:val="2"/>
                <w:sz w:val="24"/>
                <w:szCs w:val="24"/>
                <w:highlight w:val="none"/>
              </w:rPr>
              <w:t>提供上述人员</w:t>
            </w:r>
            <w:r>
              <w:rPr>
                <w:rFonts w:hint="eastAsia" w:ascii="仿宋" w:hAnsi="仿宋" w:eastAsia="仿宋" w:cs="仿宋"/>
                <w:kern w:val="2"/>
                <w:sz w:val="24"/>
                <w:szCs w:val="24"/>
                <w:highlight w:val="none"/>
                <w:lang w:val="en-US" w:eastAsia="zh-CN"/>
              </w:rPr>
              <w:t>最</w:t>
            </w:r>
            <w:r>
              <w:rPr>
                <w:rFonts w:hint="eastAsia" w:ascii="仿宋" w:hAnsi="仿宋" w:eastAsia="仿宋" w:cs="仿宋"/>
                <w:kern w:val="2"/>
                <w:sz w:val="24"/>
                <w:szCs w:val="24"/>
                <w:highlight w:val="none"/>
              </w:rPr>
              <w:t>近一个月投标方为其购买的社保证明（由于社保部门或税务部</w:t>
            </w:r>
            <w:r>
              <w:rPr>
                <w:rFonts w:hint="eastAsia" w:ascii="仿宋" w:hAnsi="仿宋" w:eastAsia="仿宋" w:cs="仿宋"/>
                <w:kern w:val="2"/>
                <w:sz w:val="24"/>
                <w:szCs w:val="24"/>
                <w:highlight w:val="none"/>
                <w:lang w:eastAsia="zh-CN"/>
              </w:rPr>
              <w:t>门的</w:t>
            </w:r>
            <w:r>
              <w:rPr>
                <w:rFonts w:hint="eastAsia" w:ascii="仿宋" w:hAnsi="仿宋" w:eastAsia="仿宋" w:cs="仿宋"/>
                <w:kern w:val="2"/>
                <w:sz w:val="24"/>
                <w:szCs w:val="24"/>
                <w:highlight w:val="none"/>
              </w:rPr>
              <w:t>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w:t>
            </w:r>
          </w:p>
          <w:p w14:paraId="6FD61C5E">
            <w:pPr>
              <w:pStyle w:val="1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napToGrid/>
              <w:spacing w:before="0" w:beforeAutospacing="0" w:after="0" w:afterAutospacing="0" w:line="320" w:lineRule="exact"/>
              <w:ind w:left="0" w:right="0"/>
              <w:jc w:val="both"/>
              <w:rPr>
                <w:rFonts w:hint="eastAsia" w:ascii="仿宋" w:hAnsi="仿宋" w:eastAsia="仿宋" w:cs="仿宋"/>
                <w:b/>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kern w:val="2"/>
                <w:sz w:val="24"/>
                <w:szCs w:val="24"/>
                <w:highlight w:val="none"/>
              </w:rPr>
              <w:t>以上资料均要求提供扫描件，原件备查。评分中出现无证明资料或专家无法凭所提供资料判断是否得分的情况，一律作不得分处理。</w:t>
            </w:r>
          </w:p>
        </w:tc>
      </w:tr>
      <w:tr w14:paraId="10483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tblCellSpacing w:w="0" w:type="dxa"/>
          <w:jc w:val="center"/>
        </w:trPr>
        <w:tc>
          <w:tcPr>
            <w:tcW w:w="343" w:type="pct"/>
            <w:gridSpan w:val="3"/>
            <w:vMerge w:val="restart"/>
            <w:tcBorders>
              <w:top w:val="single" w:color="auto" w:sz="4" w:space="0"/>
              <w:left w:val="single" w:color="auto" w:sz="4" w:space="0"/>
              <w:right w:val="single" w:color="auto" w:sz="4" w:space="0"/>
            </w:tcBorders>
            <w:vAlign w:val="center"/>
          </w:tcPr>
          <w:p w14:paraId="4CD0CDFA">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424" w:type="pct"/>
            <w:gridSpan w:val="3"/>
            <w:tcBorders>
              <w:top w:val="single" w:color="auto" w:sz="4" w:space="0"/>
              <w:left w:val="single" w:color="auto" w:sz="4" w:space="0"/>
              <w:bottom w:val="single" w:color="auto" w:sz="4" w:space="0"/>
              <w:right w:val="single" w:color="auto" w:sz="4" w:space="0"/>
            </w:tcBorders>
            <w:vAlign w:val="center"/>
          </w:tcPr>
          <w:p w14:paraId="76762B9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Theme="minorEastAsia" w:hAnsiTheme="minorEastAsia" w:eastAsiaTheme="minorEastAsia" w:cstheme="minorEastAsia"/>
                <w:b/>
                <w:bCs/>
                <w:color w:val="auto"/>
                <w:szCs w:val="21"/>
                <w:highlight w:val="none"/>
              </w:rPr>
              <w:t>诚信情况</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07B8C1A1">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r>
      <w:tr w14:paraId="7B39D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6" w:hRule="atLeast"/>
          <w:tblCellSpacing w:w="0" w:type="dxa"/>
          <w:jc w:val="center"/>
        </w:trPr>
        <w:tc>
          <w:tcPr>
            <w:tcW w:w="343" w:type="pct"/>
            <w:gridSpan w:val="3"/>
            <w:vMerge w:val="continue"/>
            <w:tcBorders>
              <w:top w:val="single" w:color="auto" w:sz="4" w:space="0"/>
              <w:left w:val="single" w:color="auto" w:sz="4" w:space="0"/>
              <w:bottom w:val="single" w:color="auto" w:sz="4" w:space="0"/>
              <w:right w:val="single" w:color="auto" w:sz="4" w:space="0"/>
            </w:tcBorders>
            <w:vAlign w:val="center"/>
          </w:tcPr>
          <w:p w14:paraId="277CFC2B">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vAlign w:val="center"/>
          </w:tcPr>
          <w:p w14:paraId="41AEFE96">
            <w:pPr>
              <w:pStyle w:val="47"/>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p>
        </w:tc>
        <w:tc>
          <w:tcPr>
            <w:tcW w:w="555" w:type="pct"/>
            <w:tcBorders>
              <w:top w:val="single" w:color="auto" w:sz="4" w:space="0"/>
              <w:left w:val="single" w:color="auto" w:sz="4" w:space="0"/>
              <w:bottom w:val="single" w:color="auto" w:sz="4" w:space="0"/>
              <w:right w:val="single" w:color="auto" w:sz="4" w:space="0"/>
            </w:tcBorders>
            <w:vAlign w:val="center"/>
          </w:tcPr>
          <w:p w14:paraId="7766C2C9">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557" w:type="pct"/>
            <w:tcBorders>
              <w:top w:val="single" w:color="auto" w:sz="4" w:space="0"/>
              <w:left w:val="single" w:color="auto" w:sz="4" w:space="0"/>
              <w:bottom w:val="single" w:color="auto" w:sz="4" w:space="0"/>
              <w:right w:val="single" w:color="auto" w:sz="4" w:space="0"/>
            </w:tcBorders>
            <w:vAlign w:val="center"/>
          </w:tcPr>
          <w:p w14:paraId="59B3435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232" w:type="pct"/>
            <w:gridSpan w:val="4"/>
            <w:tcBorders>
              <w:top w:val="single" w:color="auto" w:sz="4" w:space="0"/>
              <w:left w:val="single" w:color="auto" w:sz="4" w:space="0"/>
              <w:bottom w:val="single" w:color="auto" w:sz="4" w:space="0"/>
              <w:right w:val="single" w:color="auto" w:sz="4" w:space="0"/>
            </w:tcBorders>
            <w:vAlign w:val="center"/>
          </w:tcPr>
          <w:p w14:paraId="5AC059B4">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1778BD8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138A983C">
      <w:pPr>
        <w:pStyle w:val="19"/>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17384F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1F3D828">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C9AA12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3043DFF0">
      <w:pPr>
        <w:widowControl w:val="0"/>
        <w:numPr>
          <w:ilvl w:val="0"/>
          <w:numId w:val="5"/>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6DAF9856">
      <w:pPr>
        <w:widowControl w:val="0"/>
        <w:numPr>
          <w:ilvl w:val="0"/>
          <w:numId w:val="5"/>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762237E2">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8A50D20">
      <w:pPr>
        <w:numPr>
          <w:ilvl w:val="0"/>
          <w:numId w:val="6"/>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2E167D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489699B1">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7DA3D3CD">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5E37D18C">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08E57BD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572D4D44">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（二）本项目不接受联合体投标（由供应商作出声明，格式自拟）；</w:t>
      </w:r>
    </w:p>
    <w:p w14:paraId="08E0FD70">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4B7EE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6DC9DD32">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20DDCAD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5946F288">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F767C9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6437C1ED">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176ACEA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2B59543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2FF9E3D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5147B41F">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DE86A3E">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767ED37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0722B67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019FCF9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66B2D540">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38E8A4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31496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032AB4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4041720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7FE7C37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7983CC5F">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18BE4F0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62EBA06A">
      <w:pPr>
        <w:numPr>
          <w:ilvl w:val="0"/>
          <w:numId w:val="7"/>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CB3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4AF6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69D6A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6A321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53AC6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3A82E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14:paraId="6DE15B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14:paraId="309A63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F31734">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B40AF03">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14:paraId="4D2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281935D">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4526E649">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70B18BB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381738AA">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0A5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4B41244">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557E1C4C">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LGZXYYZBB20250703-1</w:t>
            </w:r>
          </w:p>
        </w:tc>
        <w:tc>
          <w:tcPr>
            <w:tcW w:w="1848" w:type="pct"/>
            <w:vAlign w:val="center"/>
          </w:tcPr>
          <w:p w14:paraId="3778F947">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rPr>
              <w:t>深圳市龙岗中心医院</w:t>
            </w:r>
            <w:r>
              <w:rPr>
                <w:rFonts w:hint="eastAsia" w:ascii="仿宋" w:hAnsi="仿宋" w:eastAsia="仿宋" w:cs="仿宋"/>
                <w:b w:val="0"/>
                <w:bCs w:val="0"/>
                <w:color w:val="auto"/>
                <w:sz w:val="24"/>
                <w:szCs w:val="24"/>
                <w:highlight w:val="none"/>
                <w:lang w:eastAsia="zh-CN"/>
              </w:rPr>
              <w:t>外科综合楼开办家具监理服务</w:t>
            </w:r>
          </w:p>
        </w:tc>
        <w:tc>
          <w:tcPr>
            <w:tcW w:w="1378" w:type="pct"/>
            <w:vAlign w:val="center"/>
          </w:tcPr>
          <w:p w14:paraId="2EF0E3A2">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198000</w:t>
            </w:r>
          </w:p>
        </w:tc>
      </w:tr>
    </w:tbl>
    <w:p w14:paraId="04DEB64B">
      <w:pPr>
        <w:pStyle w:val="2"/>
        <w:spacing w:before="120" w:beforeLines="50" w:after="120" w:afterLines="50"/>
        <w:jc w:val="both"/>
        <w:rPr>
          <w:rFonts w:hint="eastAsia" w:ascii="仿宋" w:hAnsi="仿宋" w:eastAsia="仿宋" w:cs="仿宋"/>
          <w:color w:val="auto"/>
          <w:szCs w:val="24"/>
          <w:highlight w:val="none"/>
        </w:rPr>
      </w:pPr>
    </w:p>
    <w:p w14:paraId="192F6F5F">
      <w:pPr>
        <w:pStyle w:val="2"/>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14:paraId="02D46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龙岗中心医院是集医疗、教学、科研、预防、康复、急救为一体的公立三级甲等综合医院。项目位于：深圳市龙岗区龙岗大道（龙岗段）6082号，其医院占地面积8.43万㎡、建筑面积13.74万㎡，床位1075张；2025年新外科综合楼建成后，建筑面积达28.5万㎡、床位达1800张。项目工期紧，体量大，为有效保障产品的质量符合要求，有效防范因家具产品质量不合格造成的室内污染等问题，确保家具产品符合国家及行业标准，引入第三方家具质量监理单位，负责外科综合楼内办公、候诊、治疗、生活、储物等多品类定制家具的生产制造、安装服务、验收及结算等各阶段的全面监理服务。</w:t>
      </w:r>
    </w:p>
    <w:p w14:paraId="61966CC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三、</w:t>
      </w:r>
      <w:bookmarkStart w:id="1" w:name="_Hlk72073432"/>
      <w:r>
        <w:rPr>
          <w:rFonts w:hint="eastAsia" w:ascii="仿宋" w:hAnsi="仿宋" w:eastAsia="仿宋" w:cs="仿宋"/>
          <w:szCs w:val="24"/>
          <w:highlight w:val="none"/>
        </w:rPr>
        <w:t>服务需求明细</w:t>
      </w:r>
      <w:bookmarkEnd w:id="1"/>
    </w:p>
    <w:tbl>
      <w:tblPr>
        <w:tblStyle w:val="22"/>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496"/>
        <w:gridCol w:w="1615"/>
        <w:gridCol w:w="569"/>
        <w:gridCol w:w="774"/>
        <w:gridCol w:w="1299"/>
        <w:gridCol w:w="1308"/>
      </w:tblGrid>
      <w:tr w14:paraId="57F4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1" w:type="pct"/>
            <w:vAlign w:val="center"/>
          </w:tcPr>
          <w:p w14:paraId="3A41F345">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229" w:type="pct"/>
            <w:vAlign w:val="center"/>
          </w:tcPr>
          <w:p w14:paraId="6A9B4D89">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012" w:type="pct"/>
            <w:vAlign w:val="center"/>
          </w:tcPr>
          <w:p w14:paraId="4BF2E778">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373" w:type="pct"/>
            <w:vAlign w:val="center"/>
          </w:tcPr>
          <w:p w14:paraId="77435B93">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493" w:type="pct"/>
            <w:vAlign w:val="center"/>
          </w:tcPr>
          <w:p w14:paraId="46F19E0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801" w:type="pct"/>
            <w:vAlign w:val="center"/>
          </w:tcPr>
          <w:p w14:paraId="6EE36FAE">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最高单价限价（元）</w:t>
            </w:r>
          </w:p>
        </w:tc>
        <w:tc>
          <w:tcPr>
            <w:tcW w:w="806" w:type="pct"/>
            <w:vAlign w:val="center"/>
          </w:tcPr>
          <w:p w14:paraId="2A6F854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合价（元）</w:t>
            </w:r>
          </w:p>
        </w:tc>
      </w:tr>
      <w:tr w14:paraId="5695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1" w:type="pct"/>
            <w:vAlign w:val="center"/>
          </w:tcPr>
          <w:p w14:paraId="1B9CDA5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vAlign w:val="center"/>
          </w:tcPr>
          <w:p w14:paraId="1D6D14DF">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LGZXYYZBB20250703-1</w:t>
            </w:r>
          </w:p>
        </w:tc>
        <w:tc>
          <w:tcPr>
            <w:tcW w:w="1012" w:type="pct"/>
            <w:vAlign w:val="center"/>
          </w:tcPr>
          <w:p w14:paraId="54577C39">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外科综合楼开办家具监理服务</w:t>
            </w:r>
          </w:p>
        </w:tc>
        <w:tc>
          <w:tcPr>
            <w:tcW w:w="373" w:type="pct"/>
            <w:vAlign w:val="center"/>
          </w:tcPr>
          <w:p w14:paraId="26286CCC">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1</w:t>
            </w:r>
          </w:p>
        </w:tc>
        <w:tc>
          <w:tcPr>
            <w:tcW w:w="493" w:type="pct"/>
            <w:vAlign w:val="center"/>
          </w:tcPr>
          <w:p w14:paraId="55B3ED41">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项</w:t>
            </w:r>
          </w:p>
        </w:tc>
        <w:tc>
          <w:tcPr>
            <w:tcW w:w="801" w:type="pct"/>
            <w:vAlign w:val="center"/>
          </w:tcPr>
          <w:p w14:paraId="3EDD8239">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198000</w:t>
            </w:r>
          </w:p>
        </w:tc>
        <w:tc>
          <w:tcPr>
            <w:tcW w:w="806" w:type="pct"/>
            <w:vAlign w:val="center"/>
          </w:tcPr>
          <w:p w14:paraId="1D1FEDA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198000</w:t>
            </w:r>
          </w:p>
        </w:tc>
      </w:tr>
    </w:tbl>
    <w:p w14:paraId="5AE2C7C2">
      <w:pPr>
        <w:pStyle w:val="2"/>
        <w:spacing w:before="120" w:beforeLines="50" w:after="120" w:afterLines="50"/>
        <w:rPr>
          <w:rFonts w:hint="eastAsia" w:ascii="仿宋" w:hAnsi="仿宋" w:eastAsia="仿宋" w:cs="仿宋"/>
          <w:szCs w:val="24"/>
          <w:highlight w:val="none"/>
        </w:rPr>
      </w:pPr>
    </w:p>
    <w:p w14:paraId="5F4060A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四、实质性条款</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14:paraId="409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top"/>
          </w:tcPr>
          <w:p w14:paraId="6C08B95F">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6A0A20EB">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53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2CF81AC0">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069DBF3D">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p w14:paraId="71EE8414">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自本合同签</w:t>
            </w:r>
            <w:r>
              <w:rPr>
                <w:rFonts w:hint="eastAsia" w:ascii="仿宋" w:hAnsi="仿宋" w:eastAsia="仿宋" w:cs="仿宋"/>
                <w:color w:val="000000"/>
                <w:kern w:val="0"/>
                <w:sz w:val="24"/>
                <w:szCs w:val="24"/>
                <w:highlight w:val="none"/>
                <w:lang w:val="en-US" w:eastAsia="zh-CN"/>
              </w:rPr>
              <w:t>订之日起至“深圳市龙岗中心医院</w:t>
            </w:r>
            <w:r>
              <w:rPr>
                <w:rFonts w:hint="eastAsia" w:ascii="仿宋" w:hAnsi="仿宋" w:eastAsia="仿宋" w:cs="仿宋"/>
                <w:color w:val="000000"/>
                <w:kern w:val="0"/>
                <w:sz w:val="24"/>
                <w:szCs w:val="24"/>
                <w:highlight w:val="none"/>
                <w:lang w:eastAsia="zh-CN"/>
              </w:rPr>
              <w:t>外科综合楼开办家具监理服务</w:t>
            </w:r>
            <w:r>
              <w:rPr>
                <w:rFonts w:hint="eastAsia" w:ascii="仿宋" w:hAnsi="仿宋" w:eastAsia="仿宋" w:cs="仿宋"/>
                <w:color w:val="000000"/>
                <w:kern w:val="0"/>
                <w:sz w:val="24"/>
                <w:szCs w:val="24"/>
                <w:highlight w:val="none"/>
                <w:lang w:val="en-US" w:eastAsia="zh-CN"/>
              </w:rPr>
              <w:t>项目</w:t>
            </w:r>
            <w:r>
              <w:rPr>
                <w:rFonts w:hint="eastAsia" w:ascii="仿宋" w:hAnsi="仿宋" w:eastAsia="仿宋" w:cs="仿宋"/>
                <w:color w:val="000000"/>
                <w:kern w:val="0"/>
                <w:sz w:val="24"/>
                <w:szCs w:val="24"/>
                <w:highlight w:val="none"/>
                <w:lang w:bidi="ar"/>
              </w:rPr>
              <w:t>”实施并验收合格为止。</w:t>
            </w:r>
          </w:p>
        </w:tc>
      </w:tr>
      <w:tr w14:paraId="1CC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A3AA352">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6C594CBC">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★人员类别</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★人员数量</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★人员必须具备条件</w:t>
            </w:r>
          </w:p>
          <w:p w14:paraId="270487C2">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1人</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投标人自有员工</w:t>
            </w:r>
          </w:p>
          <w:p w14:paraId="56FF0F33">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项目团队成员（至少包含技术人员1人、项目管理人员1人、质量服务人员1人、抽样人员2人）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5人或以上</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投标人自有员工</w:t>
            </w:r>
          </w:p>
        </w:tc>
      </w:tr>
    </w:tbl>
    <w:p w14:paraId="50966CAD">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3E9BF90B">
      <w:pPr>
        <w:rPr>
          <w:rFonts w:hint="eastAsia" w:ascii="仿宋" w:hAnsi="仿宋" w:eastAsia="仿宋" w:cs="仿宋"/>
          <w:b/>
          <w:bCs/>
          <w:sz w:val="24"/>
          <w:highlight w:val="none"/>
        </w:rPr>
      </w:pPr>
    </w:p>
    <w:p w14:paraId="33B9EE0C">
      <w:pPr>
        <w:ind w:left="2800"/>
        <w:jc w:val="left"/>
        <w:outlineLvl w:val="0"/>
        <w:rPr>
          <w:rFonts w:hint="eastAsia" w:ascii="仿宋" w:hAnsi="仿宋" w:eastAsia="仿宋" w:cs="仿宋"/>
          <w:b/>
          <w:bCs w:val="0"/>
          <w:kern w:val="0"/>
          <w:sz w:val="24"/>
          <w:szCs w:val="24"/>
          <w:highlight w:val="none"/>
          <w:lang w:val="en-US" w:eastAsia="zh-CN" w:bidi="ar-SA"/>
        </w:rPr>
      </w:pPr>
    </w:p>
    <w:p w14:paraId="749DDA48">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五、技术要求</w:t>
      </w:r>
    </w:p>
    <w:p w14:paraId="1641EA66">
      <w:pPr>
        <w:spacing w:line="500" w:lineRule="exact"/>
      </w:pPr>
      <w:r>
        <w:rPr>
          <w:rFonts w:hint="eastAsia" w:ascii="仿宋" w:hAnsi="仿宋" w:eastAsia="仿宋" w:cs="仿宋"/>
          <w:b/>
          <w:bCs w:val="0"/>
          <w:kern w:val="0"/>
          <w:sz w:val="24"/>
          <w:szCs w:val="24"/>
          <w:highlight w:val="none"/>
          <w:lang w:val="en-US" w:eastAsia="zh-CN" w:bidi="ar-SA"/>
        </w:rPr>
        <w:t>（一）服务需求（以下内容无需投标人响应，必须满足条款，否则视为投标无效）</w:t>
      </w:r>
    </w:p>
    <w:p w14:paraId="218A0F53">
      <w:pPr>
        <w:spacing w:line="500" w:lineRule="exact"/>
      </w:pPr>
    </w:p>
    <w:tbl>
      <w:tblPr>
        <w:tblStyle w:val="2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193"/>
        <w:gridCol w:w="3208"/>
        <w:gridCol w:w="3909"/>
        <w:gridCol w:w="1119"/>
      </w:tblGrid>
      <w:tr w14:paraId="01C6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14:paraId="67E1475B">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193" w:type="dxa"/>
            <w:vAlign w:val="center"/>
          </w:tcPr>
          <w:p w14:paraId="10126377">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
                <w:bCs/>
                <w:kern w:val="0"/>
                <w:sz w:val="21"/>
                <w:szCs w:val="21"/>
              </w:rPr>
              <w:t>项目阶段</w:t>
            </w:r>
          </w:p>
        </w:tc>
        <w:tc>
          <w:tcPr>
            <w:tcW w:w="3208" w:type="dxa"/>
            <w:vAlign w:val="center"/>
          </w:tcPr>
          <w:p w14:paraId="1C22BE2D">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具体内容</w:t>
            </w:r>
          </w:p>
        </w:tc>
        <w:tc>
          <w:tcPr>
            <w:tcW w:w="3909" w:type="dxa"/>
            <w:vAlign w:val="center"/>
          </w:tcPr>
          <w:p w14:paraId="4187970C">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
                <w:bCs/>
                <w:kern w:val="0"/>
                <w:sz w:val="21"/>
                <w:szCs w:val="21"/>
              </w:rPr>
              <w:t>输出文件</w:t>
            </w:r>
          </w:p>
        </w:tc>
        <w:tc>
          <w:tcPr>
            <w:tcW w:w="1119" w:type="dxa"/>
            <w:vAlign w:val="center"/>
          </w:tcPr>
          <w:p w14:paraId="162D0667">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其他说明</w:t>
            </w:r>
          </w:p>
        </w:tc>
      </w:tr>
      <w:tr w14:paraId="4FB7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14:paraId="79A220CD">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93" w:type="dxa"/>
            <w:vAlign w:val="center"/>
          </w:tcPr>
          <w:p w14:paraId="154DB7A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生产制造阶段</w:t>
            </w:r>
          </w:p>
        </w:tc>
        <w:tc>
          <w:tcPr>
            <w:tcW w:w="3208" w:type="dxa"/>
            <w:vAlign w:val="center"/>
          </w:tcPr>
          <w:p w14:paraId="0FE19092">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依据院方要求、招标文件、家具生产采购合同，对生产制造商生产及交付过程全流程监督，对不合格原材料及成品督促生产制造商进行整改，以达到招标及合同要求。</w:t>
            </w:r>
          </w:p>
        </w:tc>
        <w:tc>
          <w:tcPr>
            <w:tcW w:w="3909" w:type="dxa"/>
            <w:vAlign w:val="center"/>
          </w:tcPr>
          <w:p w14:paraId="7B852AB2">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1、《抽样检测计划及检测方案》（《原材料抽样检测方案》《半成品抽样检测方案》《成品抽样检测方案》）</w:t>
            </w:r>
          </w:p>
          <w:p w14:paraId="42C59CE1">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2、《原材料检测报告》</w:t>
            </w:r>
          </w:p>
          <w:p w14:paraId="28D5BE43">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3、《监理日志报告》</w:t>
            </w:r>
          </w:p>
          <w:p w14:paraId="250FB262">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4、《生产工艺检测报告》</w:t>
            </w:r>
          </w:p>
          <w:p w14:paraId="085735D1">
            <w:pPr>
              <w:keepNext w:val="0"/>
              <w:keepLines w:val="0"/>
              <w:pageBreakBefore w:val="0"/>
              <w:widowControl/>
              <w:numPr>
                <w:ilvl w:val="-1"/>
                <w:numId w:val="0"/>
              </w:numPr>
              <w:suppressLineNumbers w:val="0"/>
              <w:kinsoku/>
              <w:overflowPunct/>
              <w:topLinePunct w:val="0"/>
              <w:autoSpaceDE/>
              <w:autoSpaceDN/>
              <w:bidi w:val="0"/>
              <w:snapToGrid w:val="0"/>
              <w:spacing w:before="0" w:beforeAutospacing="0" w:after="0" w:after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5、《检验报告》（</w:t>
            </w:r>
            <w:r>
              <w:rPr>
                <w:rFonts w:hint="eastAsia" w:ascii="宋体" w:hAnsi="宋体" w:eastAsia="宋体" w:cs="宋体"/>
                <w:color w:val="auto"/>
                <w:kern w:val="2"/>
                <w:sz w:val="21"/>
                <w:szCs w:val="21"/>
                <w:lang w:val="en-US" w:eastAsia="zh-CN" w:bidi="ar-SA"/>
              </w:rPr>
              <w:t>1、提供具有CMA标识的检验报告。2、上述检测报告在全国认证认可信息公共服务平台（http://cx.cnca.cn）查询截图（报告编号一致））</w:t>
            </w:r>
          </w:p>
          <w:p w14:paraId="2F4620C1">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6、《不合格整改报告》（如有）</w:t>
            </w:r>
          </w:p>
        </w:tc>
        <w:tc>
          <w:tcPr>
            <w:tcW w:w="1119" w:type="dxa"/>
            <w:vAlign w:val="center"/>
          </w:tcPr>
          <w:p w14:paraId="5C722666">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r>
      <w:tr w14:paraId="5D04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14:paraId="40F9262D">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193" w:type="dxa"/>
            <w:vAlign w:val="center"/>
          </w:tcPr>
          <w:p w14:paraId="11D4B9B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安装服务阶段</w:t>
            </w:r>
          </w:p>
        </w:tc>
        <w:tc>
          <w:tcPr>
            <w:tcW w:w="3208" w:type="dxa"/>
            <w:vAlign w:val="center"/>
          </w:tcPr>
          <w:p w14:paraId="2F9ADB28">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依据院方要求、招标文件、家具生产采购合同，对生产制造商生产现场交付过程中的安装质量及现场成品、环境保护的全流程监督，以确保安装质量达到合同要求、现场成品保护及环境保护达到院方要求。</w:t>
            </w:r>
          </w:p>
        </w:tc>
        <w:tc>
          <w:tcPr>
            <w:tcW w:w="3909" w:type="dxa"/>
            <w:vAlign w:val="center"/>
          </w:tcPr>
          <w:p w14:paraId="3A3D162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《安装质量评估报告》</w:t>
            </w:r>
          </w:p>
        </w:tc>
        <w:tc>
          <w:tcPr>
            <w:tcW w:w="1119" w:type="dxa"/>
            <w:vAlign w:val="center"/>
          </w:tcPr>
          <w:p w14:paraId="6D28D045">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r>
      <w:tr w14:paraId="6963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14:paraId="3A487108">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193" w:type="dxa"/>
            <w:vAlign w:val="center"/>
          </w:tcPr>
          <w:p w14:paraId="49EF516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验收阶段</w:t>
            </w:r>
          </w:p>
        </w:tc>
        <w:tc>
          <w:tcPr>
            <w:tcW w:w="3208" w:type="dxa"/>
            <w:vAlign w:val="center"/>
          </w:tcPr>
          <w:p w14:paraId="267F267D">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依据院方要求、招标文件、合同等相关文件，对相关货物的验收，对没按照院方要求、招标文件及设计、采购合同要求的，发出整改通知，并督促供应商进行整改，以达到符合相关标准要求。</w:t>
            </w:r>
          </w:p>
        </w:tc>
        <w:tc>
          <w:tcPr>
            <w:tcW w:w="3909" w:type="dxa"/>
            <w:vAlign w:val="center"/>
          </w:tcPr>
          <w:p w14:paraId="3756CCB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出具《验收报告》</w:t>
            </w:r>
          </w:p>
        </w:tc>
        <w:tc>
          <w:tcPr>
            <w:tcW w:w="1119" w:type="dxa"/>
            <w:vAlign w:val="center"/>
          </w:tcPr>
          <w:p w14:paraId="281FEEAD">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r>
      <w:tr w14:paraId="6DE6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14:paraId="126D22DA">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193" w:type="dxa"/>
            <w:vAlign w:val="center"/>
          </w:tcPr>
          <w:p w14:paraId="632CF37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结算阶段</w:t>
            </w:r>
          </w:p>
        </w:tc>
        <w:tc>
          <w:tcPr>
            <w:tcW w:w="3208" w:type="dxa"/>
            <w:vAlign w:val="center"/>
          </w:tcPr>
          <w:p w14:paraId="6D29BC8B">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对项目实施验收合格后，配合业主进行结算审批。</w:t>
            </w:r>
          </w:p>
        </w:tc>
        <w:tc>
          <w:tcPr>
            <w:tcW w:w="3909" w:type="dxa"/>
            <w:vAlign w:val="center"/>
          </w:tcPr>
          <w:p w14:paraId="14119CC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《结算表》及出具《款项支付申请报告》审批文件</w:t>
            </w:r>
          </w:p>
        </w:tc>
        <w:tc>
          <w:tcPr>
            <w:tcW w:w="1119" w:type="dxa"/>
            <w:vAlign w:val="center"/>
          </w:tcPr>
          <w:p w14:paraId="6EA61FE0">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r>
      <w:tr w14:paraId="0F66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14:paraId="2243D27D">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193" w:type="dxa"/>
            <w:vAlign w:val="center"/>
          </w:tcPr>
          <w:p w14:paraId="4D1AB908">
            <w:pPr>
              <w:keepNext w:val="0"/>
              <w:keepLines w:val="0"/>
              <w:suppressLineNumbers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其他</w:t>
            </w:r>
          </w:p>
        </w:tc>
        <w:tc>
          <w:tcPr>
            <w:tcW w:w="7117" w:type="dxa"/>
            <w:gridSpan w:val="2"/>
            <w:vAlign w:val="center"/>
          </w:tcPr>
          <w:p w14:paraId="236A5C5E">
            <w:pPr>
              <w:keepNext w:val="0"/>
              <w:keepLines w:val="0"/>
              <w:numPr>
                <w:ilvl w:val="255"/>
                <w:numId w:val="0"/>
              </w:numPr>
              <w:suppressLineNumbers w:val="0"/>
              <w:spacing w:before="0" w:beforeAutospacing="0" w:after="0" w:afterAutospacing="0"/>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主要是根据采购人</w:t>
            </w:r>
            <w:r>
              <w:rPr>
                <w:rFonts w:hint="eastAsia" w:ascii="宋体" w:hAnsi="宋体" w:eastAsia="宋体" w:cs="宋体"/>
                <w:sz w:val="21"/>
                <w:szCs w:val="21"/>
                <w:lang w:val="en-US" w:eastAsia="zh-CN"/>
              </w:rPr>
              <w:t>及合同</w:t>
            </w:r>
            <w:r>
              <w:rPr>
                <w:rFonts w:hint="eastAsia" w:ascii="宋体" w:hAnsi="宋体" w:eastAsia="宋体" w:cs="宋体"/>
                <w:sz w:val="21"/>
                <w:szCs w:val="21"/>
              </w:rPr>
              <w:t>的要求，编制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抽样检测计划及检测方案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其包含</w:t>
            </w:r>
            <w:r>
              <w:rPr>
                <w:rFonts w:hint="eastAsia" w:ascii="宋体" w:hAnsi="宋体" w:eastAsia="宋体" w:cs="宋体"/>
                <w:sz w:val="21"/>
                <w:szCs w:val="21"/>
              </w:rPr>
              <w:t>《原材料抽样检测方案》、《</w:t>
            </w:r>
            <w:r>
              <w:rPr>
                <w:rFonts w:hint="eastAsia" w:ascii="宋体" w:hAnsi="宋体" w:eastAsia="宋体" w:cs="宋体"/>
                <w:sz w:val="21"/>
                <w:szCs w:val="21"/>
                <w:lang w:val="en-US" w:eastAsia="zh-CN"/>
              </w:rPr>
              <w:t>半成品</w:t>
            </w:r>
            <w:r>
              <w:rPr>
                <w:rFonts w:hint="eastAsia" w:ascii="宋体" w:hAnsi="宋体" w:eastAsia="宋体" w:cs="宋体"/>
                <w:sz w:val="21"/>
                <w:szCs w:val="21"/>
              </w:rPr>
              <w:t>抽样检测方案》</w:t>
            </w:r>
            <w:r>
              <w:rPr>
                <w:rFonts w:hint="eastAsia" w:ascii="宋体" w:hAnsi="宋体" w:eastAsia="宋体" w:cs="宋体"/>
                <w:sz w:val="21"/>
                <w:szCs w:val="21"/>
                <w:lang w:eastAsia="zh-CN"/>
              </w:rPr>
              <w:t>、</w:t>
            </w:r>
            <w:r>
              <w:rPr>
                <w:rFonts w:hint="eastAsia" w:ascii="宋体" w:hAnsi="宋体" w:eastAsia="宋体" w:cs="宋体"/>
                <w:sz w:val="21"/>
                <w:szCs w:val="21"/>
              </w:rPr>
              <w:t>《成品抽样检测方案》实施抽样并进行检测。</w:t>
            </w:r>
            <w:r>
              <w:rPr>
                <w:rFonts w:hint="eastAsia" w:ascii="宋体" w:hAnsi="宋体" w:eastAsia="宋体" w:cs="宋体"/>
                <w:sz w:val="21"/>
                <w:szCs w:val="21"/>
                <w:lang w:val="en-US" w:eastAsia="zh-CN"/>
              </w:rPr>
              <w:t>各标段按产品品类进行抽检，单个品类原材料每一批次抽检数量不低于3</w:t>
            </w:r>
            <w:r>
              <w:rPr>
                <w:rFonts w:hint="eastAsia" w:ascii="宋体" w:hAnsi="宋体" w:eastAsia="宋体" w:cs="宋体"/>
                <w:sz w:val="21"/>
                <w:szCs w:val="21"/>
              </w:rPr>
              <w:t>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单个品类半成品检测数量不低于5个，单个品类</w:t>
            </w:r>
            <w:r>
              <w:rPr>
                <w:rFonts w:hint="eastAsia" w:ascii="宋体" w:hAnsi="宋体" w:eastAsia="宋体" w:cs="宋体"/>
                <w:sz w:val="21"/>
                <w:szCs w:val="21"/>
              </w:rPr>
              <w:t>成品检测数量不低于</w:t>
            </w:r>
            <w:r>
              <w:rPr>
                <w:rFonts w:hint="eastAsia" w:ascii="宋体" w:hAnsi="宋体" w:eastAsia="宋体" w:cs="宋体"/>
                <w:sz w:val="21"/>
                <w:szCs w:val="21"/>
                <w:lang w:val="en-US" w:eastAsia="zh-CN"/>
              </w:rPr>
              <w:t>5</w:t>
            </w:r>
            <w:r>
              <w:rPr>
                <w:rFonts w:hint="eastAsia" w:ascii="宋体" w:hAnsi="宋体" w:eastAsia="宋体" w:cs="宋体"/>
                <w:sz w:val="21"/>
                <w:szCs w:val="21"/>
              </w:rPr>
              <w:t>个</w:t>
            </w:r>
            <w:r>
              <w:rPr>
                <w:rFonts w:hint="eastAsia" w:ascii="宋体" w:hAnsi="宋体" w:eastAsia="宋体" w:cs="宋体"/>
                <w:sz w:val="21"/>
                <w:szCs w:val="21"/>
                <w:lang w:eastAsia="zh-CN"/>
              </w:rPr>
              <w:t>。</w:t>
            </w:r>
            <w:r>
              <w:rPr>
                <w:rFonts w:hint="eastAsia" w:ascii="宋体" w:hAnsi="宋体" w:eastAsia="宋体" w:cs="宋体"/>
                <w:sz w:val="21"/>
                <w:szCs w:val="21"/>
              </w:rPr>
              <w:t>实际检测数量应根据采购人实际需求及各标段实际家具采购情况合理</w:t>
            </w:r>
            <w:r>
              <w:rPr>
                <w:rFonts w:hint="eastAsia" w:ascii="宋体" w:hAnsi="宋体" w:eastAsia="宋体" w:cs="宋体"/>
                <w:sz w:val="21"/>
                <w:szCs w:val="21"/>
                <w:lang w:val="en-US" w:eastAsia="zh-CN"/>
              </w:rPr>
              <w:t>调整</w:t>
            </w:r>
            <w:r>
              <w:rPr>
                <w:rFonts w:hint="eastAsia" w:ascii="宋体" w:hAnsi="宋体" w:eastAsia="宋体" w:cs="宋体"/>
                <w:sz w:val="21"/>
                <w:szCs w:val="21"/>
              </w:rPr>
              <w:t>。</w:t>
            </w:r>
          </w:p>
          <w:p w14:paraId="1801C053">
            <w:pPr>
              <w:keepNext w:val="0"/>
              <w:keepLines w:val="0"/>
              <w:numPr>
                <w:ilvl w:val="255"/>
                <w:numId w:val="0"/>
              </w:numPr>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检测范围为覆盖不同品类的家具产品，以及采购人提出的检测内容。检测内容包括但不限于环保测</w:t>
            </w:r>
            <w:r>
              <w:rPr>
                <w:rFonts w:hint="eastAsia" w:ascii="宋体" w:hAnsi="宋体" w:eastAsia="宋体" w:cs="宋体"/>
                <w:sz w:val="21"/>
                <w:szCs w:val="21"/>
                <w:lang w:val="en-US" w:eastAsia="zh-CN"/>
              </w:rPr>
              <w:t>试(含甲醛、TVOC、苯系物等致癌有机物、重金属等)、安全测试(含力学强度、稳定性测试)、理化性能(含家具表面耐腐蚀、耐磨、耐划痕等)，为货物验收提供客观数据。</w:t>
            </w:r>
          </w:p>
          <w:p w14:paraId="079A57C2">
            <w:pPr>
              <w:keepNext w:val="0"/>
              <w:keepLines w:val="0"/>
              <w:numPr>
                <w:ilvl w:val="255"/>
                <w:numId w:val="0"/>
              </w:numPr>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原材料、半成品、成品及安装完成后进行的初始检测费，由家具中标供应商支付，初始检测方案中的检测费比例不超过家具中标价的1%。</w:t>
            </w:r>
          </w:p>
          <w:p w14:paraId="4FF9940E">
            <w:pPr>
              <w:keepNext w:val="0"/>
              <w:keepLines w:val="0"/>
              <w:numPr>
                <w:ilvl w:val="255"/>
                <w:numId w:val="0"/>
              </w:numPr>
              <w:suppressLineNumbers w:val="0"/>
              <w:spacing w:before="0" w:beforeAutospacing="0" w:after="0" w:afterAutospacing="0"/>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抽样样品如检测不合格，投标人应出具《整改通知书》等相关文件，要求中标企业进行整改并跟进整改过程。整改完成后进行复检，直至检测结果合格为止。因检测不合格产生的复检费用由该标段的家具供应商承担。</w:t>
            </w:r>
          </w:p>
        </w:tc>
        <w:tc>
          <w:tcPr>
            <w:tcW w:w="1119" w:type="dxa"/>
            <w:vAlign w:val="center"/>
          </w:tcPr>
          <w:p w14:paraId="549BAC8B">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p>
        </w:tc>
      </w:tr>
    </w:tbl>
    <w:p w14:paraId="73AAC91F">
      <w:pPr>
        <w:widowControl/>
        <w:spacing w:line="500" w:lineRule="exact"/>
        <w:ind w:left="0" w:leftChars="0" w:firstLine="420" w:firstLineChars="175"/>
        <w:jc w:val="left"/>
        <w:rPr>
          <w:rFonts w:hint="eastAsia" w:ascii="仿宋" w:hAnsi="仿宋" w:eastAsia="仿宋" w:cs="仿宋"/>
          <w:color w:val="000000"/>
          <w:kern w:val="0"/>
          <w:sz w:val="24"/>
          <w:szCs w:val="24"/>
          <w:highlight w:val="none"/>
          <w:lang w:val="en-US" w:eastAsia="zh-CN"/>
        </w:rPr>
      </w:pPr>
    </w:p>
    <w:p w14:paraId="5AED0B61">
      <w:pPr>
        <w:widowControl/>
        <w:rPr>
          <w:rFonts w:hint="eastAsia" w:ascii="仿宋" w:hAnsi="仿宋" w:eastAsia="仿宋" w:cs="仿宋"/>
          <w:b/>
          <w:kern w:val="0"/>
          <w:sz w:val="24"/>
          <w:highlight w:val="none"/>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二</w:t>
      </w:r>
      <w:r>
        <w:rPr>
          <w:rFonts w:hint="eastAsia" w:ascii="仿宋" w:hAnsi="仿宋" w:eastAsia="仿宋" w:cs="仿宋"/>
          <w:b/>
          <w:kern w:val="0"/>
          <w:sz w:val="24"/>
          <w:highlight w:val="none"/>
        </w:rPr>
        <w:t>）项目人员需求一览表</w:t>
      </w:r>
    </w:p>
    <w:p w14:paraId="17DFBCDC">
      <w:pPr>
        <w:pStyle w:val="8"/>
        <w:rPr>
          <w:rFonts w:hint="eastAsia" w:ascii="仿宋" w:hAnsi="仿宋" w:eastAsia="仿宋" w:cs="仿宋"/>
          <w:b/>
          <w:kern w:val="0"/>
          <w:sz w:val="24"/>
          <w:highlight w:val="none"/>
        </w:rPr>
      </w:pPr>
    </w:p>
    <w:tbl>
      <w:tblPr>
        <w:tblStyle w:val="23"/>
        <w:tblW w:w="5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558"/>
        <w:gridCol w:w="1075"/>
        <w:gridCol w:w="1965"/>
        <w:gridCol w:w="3867"/>
      </w:tblGrid>
      <w:tr w14:paraId="31BB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pct"/>
            <w:vAlign w:val="center"/>
          </w:tcPr>
          <w:p w14:paraId="2F58D748">
            <w:pPr>
              <w:pStyle w:val="8"/>
              <w:keepNext w:val="0"/>
              <w:keepLines w:val="0"/>
              <w:suppressLineNumbers w:val="0"/>
              <w:spacing w:before="0" w:beforeAutospacing="0" w:after="0" w:afterAutospacing="0" w:line="240" w:lineRule="auto"/>
              <w:ind w:left="0" w:right="0"/>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序号</w:t>
            </w:r>
          </w:p>
        </w:tc>
        <w:tc>
          <w:tcPr>
            <w:tcW w:w="796" w:type="pct"/>
            <w:vAlign w:val="center"/>
          </w:tcPr>
          <w:p w14:paraId="7F5BC848">
            <w:pPr>
              <w:pStyle w:val="8"/>
              <w:keepNext w:val="0"/>
              <w:keepLines w:val="0"/>
              <w:suppressLineNumbers w:val="0"/>
              <w:spacing w:before="0" w:beforeAutospacing="0" w:after="0" w:afterAutospacing="0" w:line="240" w:lineRule="auto"/>
              <w:ind w:left="0" w:right="0"/>
              <w:jc w:val="center"/>
              <w:rPr>
                <w:rFonts w:hint="eastAsia" w:ascii="宋体" w:hAnsi="宋体" w:eastAsia="宋体" w:cs="宋体"/>
                <w:b w:val="0"/>
                <w:sz w:val="21"/>
                <w:szCs w:val="21"/>
                <w:highlight w:val="none"/>
              </w:rPr>
            </w:pPr>
            <w:r>
              <w:rPr>
                <w:rFonts w:hint="eastAsia" w:ascii="宋体" w:hAnsi="宋体" w:eastAsia="宋体" w:cs="宋体"/>
                <w:b/>
                <w:bCs/>
                <w:color w:val="auto"/>
                <w:sz w:val="21"/>
                <w:szCs w:val="21"/>
              </w:rPr>
              <w:t>★</w:t>
            </w:r>
            <w:r>
              <w:rPr>
                <w:rFonts w:hint="eastAsia" w:ascii="宋体" w:hAnsi="宋体" w:eastAsia="宋体" w:cs="宋体"/>
                <w:b w:val="0"/>
                <w:sz w:val="21"/>
                <w:szCs w:val="21"/>
                <w:highlight w:val="none"/>
              </w:rPr>
              <w:t>人员类别</w:t>
            </w:r>
          </w:p>
        </w:tc>
        <w:tc>
          <w:tcPr>
            <w:tcW w:w="549" w:type="pct"/>
            <w:vAlign w:val="center"/>
          </w:tcPr>
          <w:p w14:paraId="67C316BA">
            <w:pPr>
              <w:pStyle w:val="8"/>
              <w:keepNext w:val="0"/>
              <w:keepLines w:val="0"/>
              <w:suppressLineNumbers w:val="0"/>
              <w:spacing w:before="0" w:beforeAutospacing="0" w:after="0" w:afterAutospacing="0" w:line="240" w:lineRule="auto"/>
              <w:ind w:left="0" w:right="0"/>
              <w:jc w:val="center"/>
              <w:rPr>
                <w:rFonts w:hint="eastAsia" w:ascii="宋体" w:hAnsi="宋体" w:eastAsia="宋体" w:cs="宋体"/>
                <w:b w:val="0"/>
                <w:sz w:val="21"/>
                <w:szCs w:val="21"/>
                <w:highlight w:val="none"/>
              </w:rPr>
            </w:pPr>
            <w:r>
              <w:rPr>
                <w:rFonts w:hint="eastAsia" w:ascii="宋体" w:hAnsi="宋体" w:eastAsia="宋体" w:cs="宋体"/>
                <w:b/>
                <w:bCs/>
                <w:color w:val="auto"/>
                <w:sz w:val="21"/>
                <w:szCs w:val="21"/>
              </w:rPr>
              <w:t>★</w:t>
            </w:r>
            <w:r>
              <w:rPr>
                <w:rFonts w:hint="eastAsia" w:ascii="宋体" w:hAnsi="宋体" w:eastAsia="宋体" w:cs="宋体"/>
                <w:b w:val="0"/>
                <w:sz w:val="21"/>
                <w:szCs w:val="21"/>
                <w:highlight w:val="none"/>
              </w:rPr>
              <w:t>人员数量</w:t>
            </w:r>
          </w:p>
        </w:tc>
        <w:tc>
          <w:tcPr>
            <w:tcW w:w="1004" w:type="pct"/>
            <w:vAlign w:val="center"/>
          </w:tcPr>
          <w:p w14:paraId="70A772C4">
            <w:pPr>
              <w:pStyle w:val="8"/>
              <w:keepNext w:val="0"/>
              <w:keepLines w:val="0"/>
              <w:suppressLineNumbers w:val="0"/>
              <w:spacing w:before="0" w:beforeAutospacing="0" w:after="0" w:afterAutospacing="0" w:line="240" w:lineRule="auto"/>
              <w:ind w:left="0" w:right="0"/>
              <w:jc w:val="center"/>
              <w:rPr>
                <w:rFonts w:hint="eastAsia" w:ascii="宋体" w:hAnsi="宋体" w:eastAsia="宋体" w:cs="宋体"/>
                <w:b w:val="0"/>
                <w:sz w:val="21"/>
                <w:szCs w:val="21"/>
                <w:highlight w:val="none"/>
              </w:rPr>
            </w:pPr>
            <w:r>
              <w:rPr>
                <w:rFonts w:hint="eastAsia" w:ascii="宋体" w:hAnsi="宋体" w:eastAsia="宋体" w:cs="宋体"/>
                <w:b/>
                <w:bCs/>
                <w:color w:val="auto"/>
                <w:sz w:val="21"/>
                <w:szCs w:val="21"/>
              </w:rPr>
              <w:t>★</w:t>
            </w:r>
            <w:r>
              <w:rPr>
                <w:rFonts w:hint="eastAsia" w:ascii="宋体" w:hAnsi="宋体" w:eastAsia="宋体" w:cs="宋体"/>
                <w:b w:val="0"/>
                <w:sz w:val="21"/>
                <w:szCs w:val="21"/>
                <w:highlight w:val="none"/>
              </w:rPr>
              <w:t>人员必须具备条件</w:t>
            </w:r>
          </w:p>
        </w:tc>
        <w:tc>
          <w:tcPr>
            <w:tcW w:w="1976" w:type="pct"/>
            <w:vAlign w:val="center"/>
          </w:tcPr>
          <w:p w14:paraId="0D57440F">
            <w:pPr>
              <w:pStyle w:val="8"/>
              <w:keepNext w:val="0"/>
              <w:keepLines w:val="0"/>
              <w:suppressLineNumbers w:val="0"/>
              <w:spacing w:before="0" w:beforeAutospacing="0" w:after="0" w:afterAutospacing="0" w:line="240" w:lineRule="auto"/>
              <w:ind w:left="0" w:right="0"/>
              <w:jc w:val="center"/>
              <w:rPr>
                <w:rFonts w:hint="eastAsia" w:ascii="宋体" w:hAnsi="宋体" w:eastAsia="宋体" w:cs="宋体"/>
                <w:b w:val="0"/>
                <w:sz w:val="21"/>
                <w:szCs w:val="21"/>
                <w:highlight w:val="none"/>
              </w:rPr>
            </w:pPr>
            <w:r>
              <w:rPr>
                <w:rFonts w:hint="eastAsia" w:ascii="宋体" w:hAnsi="宋体" w:eastAsia="宋体" w:cs="宋体"/>
                <w:b w:val="0"/>
                <w:bCs w:val="0"/>
                <w:sz w:val="21"/>
                <w:szCs w:val="21"/>
                <w:highlight w:val="none"/>
              </w:rPr>
              <w:t>人员可偏离条件</w:t>
            </w:r>
          </w:p>
        </w:tc>
      </w:tr>
      <w:tr w14:paraId="022E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73" w:type="pct"/>
            <w:vAlign w:val="center"/>
          </w:tcPr>
          <w:p w14:paraId="0A069693">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w:t>
            </w:r>
          </w:p>
        </w:tc>
        <w:tc>
          <w:tcPr>
            <w:tcW w:w="796" w:type="pct"/>
            <w:vAlign w:val="center"/>
          </w:tcPr>
          <w:p w14:paraId="12C7C6CF">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项目负责人</w:t>
            </w:r>
          </w:p>
        </w:tc>
        <w:tc>
          <w:tcPr>
            <w:tcW w:w="549" w:type="pct"/>
            <w:vAlign w:val="center"/>
          </w:tcPr>
          <w:p w14:paraId="591D6EE9">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1</w:t>
            </w:r>
            <w:r>
              <w:rPr>
                <w:rFonts w:hint="eastAsia" w:ascii="宋体" w:hAnsi="宋体" w:eastAsia="宋体" w:cs="宋体"/>
                <w:b w:val="0"/>
                <w:sz w:val="21"/>
                <w:szCs w:val="21"/>
                <w:highlight w:val="none"/>
                <w:lang w:val="en-US" w:eastAsia="zh-CN"/>
              </w:rPr>
              <w:t>人</w:t>
            </w:r>
          </w:p>
        </w:tc>
        <w:tc>
          <w:tcPr>
            <w:tcW w:w="1004" w:type="pct"/>
            <w:vAlign w:val="center"/>
          </w:tcPr>
          <w:p w14:paraId="66BEAABC">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投标人自有员工</w:t>
            </w:r>
          </w:p>
        </w:tc>
        <w:tc>
          <w:tcPr>
            <w:tcW w:w="1976" w:type="pct"/>
            <w:vAlign w:val="center"/>
          </w:tcPr>
          <w:p w14:paraId="7C7DDFA3">
            <w:pPr>
              <w:pStyle w:val="8"/>
              <w:keepNext w:val="0"/>
              <w:keepLines w:val="0"/>
              <w:suppressLineNumbers w:val="0"/>
              <w:spacing w:before="0" w:beforeAutospacing="0" w:after="0" w:afterAutospacing="0" w:line="240" w:lineRule="auto"/>
              <w:ind w:left="0" w:right="0"/>
              <w:jc w:val="left"/>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rPr>
              <w:t>1、具有本科或以上学历；</w:t>
            </w:r>
          </w:p>
          <w:p w14:paraId="49723CB9">
            <w:pPr>
              <w:pStyle w:val="8"/>
              <w:keepNext w:val="0"/>
              <w:keepLines w:val="0"/>
              <w:suppressLineNumbers w:val="0"/>
              <w:spacing w:before="0" w:beforeAutospacing="0" w:after="0" w:afterAutospacing="0" w:line="240" w:lineRule="auto"/>
              <w:ind w:left="0" w:right="0"/>
              <w:jc w:val="left"/>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rPr>
              <w:t>2、</w:t>
            </w:r>
            <w:r>
              <w:rPr>
                <w:rFonts w:hint="eastAsia" w:ascii="宋体" w:hAnsi="宋体" w:eastAsia="宋体" w:cs="宋体"/>
                <w:sz w:val="21"/>
                <w:szCs w:val="21"/>
                <w:highlight w:val="none"/>
              </w:rPr>
              <w:t>具有人力资源和社会保障</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颁发的质量</w:t>
            </w:r>
            <w:r>
              <w:rPr>
                <w:rFonts w:hint="eastAsia" w:ascii="宋体" w:hAnsi="宋体" w:eastAsia="宋体" w:cs="宋体"/>
                <w:sz w:val="21"/>
                <w:szCs w:val="21"/>
                <w:highlight w:val="none"/>
                <w:lang w:val="en-US" w:eastAsia="zh-CN"/>
              </w:rPr>
              <w:t>专业</w:t>
            </w:r>
            <w:r>
              <w:rPr>
                <w:rFonts w:hint="eastAsia" w:ascii="宋体" w:hAnsi="宋体" w:eastAsia="宋体" w:cs="宋体"/>
                <w:sz w:val="21"/>
                <w:szCs w:val="21"/>
                <w:highlight w:val="none"/>
              </w:rPr>
              <w:t>中级</w:t>
            </w:r>
            <w:r>
              <w:rPr>
                <w:rFonts w:hint="eastAsia" w:ascii="宋体" w:hAnsi="宋体" w:eastAsia="宋体" w:cs="宋体"/>
                <w:sz w:val="21"/>
                <w:szCs w:val="21"/>
                <w:highlight w:val="none"/>
                <w:lang w:val="en-US" w:eastAsia="zh-CN"/>
              </w:rPr>
              <w:t>或以上职称</w:t>
            </w:r>
            <w:r>
              <w:rPr>
                <w:rFonts w:hint="eastAsia" w:ascii="宋体" w:hAnsi="宋体" w:eastAsia="宋体" w:cs="宋体"/>
                <w:b w:val="0"/>
                <w:sz w:val="21"/>
                <w:szCs w:val="21"/>
                <w:highlight w:val="none"/>
                <w:lang w:eastAsia="zh-CN"/>
              </w:rPr>
              <w:t>；</w:t>
            </w:r>
          </w:p>
          <w:p w14:paraId="1FDD2868">
            <w:pPr>
              <w:pStyle w:val="8"/>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b w:val="0"/>
                <w:sz w:val="21"/>
                <w:szCs w:val="21"/>
                <w:highlight w:val="none"/>
              </w:rPr>
              <w:t>3、具有</w:t>
            </w:r>
            <w:r>
              <w:rPr>
                <w:rFonts w:hint="eastAsia" w:ascii="宋体" w:hAnsi="宋体" w:eastAsia="宋体" w:cs="宋体"/>
                <w:b w:val="0"/>
                <w:sz w:val="21"/>
                <w:szCs w:val="21"/>
                <w:highlight w:val="none"/>
                <w:lang w:val="en-US" w:eastAsia="zh-CN"/>
              </w:rPr>
              <w:t>2</w:t>
            </w:r>
            <w:r>
              <w:rPr>
                <w:rFonts w:hint="eastAsia" w:ascii="宋体" w:hAnsi="宋体" w:eastAsia="宋体" w:cs="宋体"/>
                <w:b w:val="0"/>
                <w:sz w:val="21"/>
                <w:szCs w:val="21"/>
                <w:highlight w:val="none"/>
              </w:rPr>
              <w:t>年或以上</w:t>
            </w:r>
            <w:r>
              <w:rPr>
                <w:rFonts w:hint="eastAsia" w:ascii="宋体" w:hAnsi="宋体" w:eastAsia="宋体" w:cs="宋体"/>
                <w:b w:val="0"/>
                <w:sz w:val="21"/>
                <w:szCs w:val="21"/>
                <w:highlight w:val="none"/>
                <w:lang w:val="en-US" w:eastAsia="zh-CN"/>
              </w:rPr>
              <w:t>家具监理</w:t>
            </w:r>
            <w:r>
              <w:rPr>
                <w:rFonts w:hint="eastAsia" w:ascii="宋体" w:hAnsi="宋体" w:eastAsia="宋体" w:cs="宋体"/>
                <w:b w:val="0"/>
                <w:sz w:val="21"/>
                <w:szCs w:val="21"/>
                <w:highlight w:val="none"/>
              </w:rPr>
              <w:t>管理类工作经验</w:t>
            </w:r>
            <w:r>
              <w:rPr>
                <w:rFonts w:hint="eastAsia" w:ascii="宋体" w:hAnsi="宋体" w:eastAsia="宋体" w:cs="宋体"/>
                <w:b w:val="0"/>
                <w:sz w:val="21"/>
                <w:szCs w:val="21"/>
                <w:highlight w:val="none"/>
                <w:lang w:eastAsia="zh-CN"/>
              </w:rPr>
              <w:t>。</w:t>
            </w:r>
          </w:p>
        </w:tc>
      </w:tr>
      <w:tr w14:paraId="4CE1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jc w:val="center"/>
        </w:trPr>
        <w:tc>
          <w:tcPr>
            <w:tcW w:w="673" w:type="pct"/>
            <w:vAlign w:val="center"/>
          </w:tcPr>
          <w:p w14:paraId="406C529A">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w:t>
            </w:r>
          </w:p>
        </w:tc>
        <w:tc>
          <w:tcPr>
            <w:tcW w:w="796" w:type="pct"/>
            <w:vAlign w:val="center"/>
          </w:tcPr>
          <w:p w14:paraId="4A3E348E">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en-US" w:eastAsia="zh-CN"/>
              </w:rPr>
              <w:t>项目团队成员（至少包含</w:t>
            </w:r>
            <w:r>
              <w:rPr>
                <w:rFonts w:hint="eastAsia" w:ascii="宋体" w:hAnsi="宋体" w:eastAsia="宋体" w:cs="宋体"/>
                <w:color w:val="auto"/>
                <w:sz w:val="21"/>
                <w:szCs w:val="21"/>
                <w:highlight w:val="none"/>
              </w:rPr>
              <w:t>技术人员</w:t>
            </w:r>
            <w:r>
              <w:rPr>
                <w:rFonts w:hint="eastAsia" w:ascii="宋体" w:hAnsi="宋体" w:eastAsia="宋体" w:cs="宋体"/>
                <w:b w:val="0"/>
                <w:sz w:val="21"/>
                <w:szCs w:val="21"/>
                <w:highlight w:val="none"/>
                <w:lang w:val="en-US" w:eastAsia="zh-CN"/>
              </w:rPr>
              <w:t>1人、</w:t>
            </w:r>
            <w:r>
              <w:rPr>
                <w:rFonts w:hint="eastAsia" w:ascii="宋体" w:hAnsi="宋体" w:eastAsia="宋体" w:cs="宋体"/>
                <w:color w:val="auto"/>
                <w:sz w:val="21"/>
                <w:szCs w:val="21"/>
                <w:highlight w:val="none"/>
              </w:rPr>
              <w:t>项目管理</w:t>
            </w:r>
            <w:r>
              <w:rPr>
                <w:rFonts w:hint="eastAsia" w:ascii="宋体" w:hAnsi="宋体" w:eastAsia="宋体" w:cs="宋体"/>
                <w:color w:val="auto"/>
                <w:sz w:val="21"/>
                <w:szCs w:val="21"/>
                <w:highlight w:val="none"/>
                <w:lang w:val="en-US" w:eastAsia="zh-CN"/>
              </w:rPr>
              <w:t>人员</w:t>
            </w:r>
            <w:r>
              <w:rPr>
                <w:rFonts w:hint="eastAsia" w:ascii="宋体" w:hAnsi="宋体" w:eastAsia="宋体" w:cs="宋体"/>
                <w:b w:val="0"/>
                <w:sz w:val="21"/>
                <w:szCs w:val="21"/>
                <w:highlight w:val="none"/>
                <w:lang w:val="en-US" w:eastAsia="zh-CN"/>
              </w:rPr>
              <w:t>1人、</w:t>
            </w:r>
            <w:r>
              <w:rPr>
                <w:rFonts w:hint="eastAsia" w:ascii="宋体" w:hAnsi="宋体" w:eastAsia="宋体" w:cs="宋体"/>
                <w:color w:val="auto"/>
                <w:sz w:val="21"/>
                <w:szCs w:val="21"/>
                <w:highlight w:val="none"/>
              </w:rPr>
              <w:t>质量服务人员</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抽样人员</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b w:val="0"/>
                <w:sz w:val="21"/>
                <w:szCs w:val="21"/>
                <w:highlight w:val="none"/>
                <w:lang w:val="en-US" w:eastAsia="zh-CN"/>
              </w:rPr>
              <w:t>）</w:t>
            </w:r>
          </w:p>
        </w:tc>
        <w:tc>
          <w:tcPr>
            <w:tcW w:w="549" w:type="pct"/>
            <w:vAlign w:val="center"/>
          </w:tcPr>
          <w:p w14:paraId="592BE417">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5人或以上</w:t>
            </w:r>
          </w:p>
        </w:tc>
        <w:tc>
          <w:tcPr>
            <w:tcW w:w="1004" w:type="pct"/>
            <w:vAlign w:val="center"/>
          </w:tcPr>
          <w:p w14:paraId="14CBCA63">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sz w:val="21"/>
                <w:szCs w:val="21"/>
                <w:highlight w:val="none"/>
              </w:rPr>
            </w:pPr>
            <w:r>
              <w:rPr>
                <w:rFonts w:hint="eastAsia" w:ascii="宋体" w:hAnsi="宋体" w:eastAsia="宋体" w:cs="宋体"/>
                <w:kern w:val="2"/>
                <w:sz w:val="21"/>
                <w:szCs w:val="21"/>
                <w:highlight w:val="none"/>
                <w:lang w:val="en-US" w:eastAsia="zh-CN"/>
              </w:rPr>
              <w:t>投标人自有员工</w:t>
            </w:r>
          </w:p>
        </w:tc>
        <w:tc>
          <w:tcPr>
            <w:tcW w:w="1976" w:type="pct"/>
            <w:vAlign w:val="center"/>
          </w:tcPr>
          <w:p w14:paraId="58007E85">
            <w:pPr>
              <w:pStyle w:val="49"/>
              <w:keepNext w:val="0"/>
              <w:keepLines w:val="0"/>
              <w:numPr>
                <w:ilvl w:val="0"/>
                <w:numId w:val="0"/>
              </w:numPr>
              <w:suppressLineNumbers w:val="0"/>
              <w:spacing w:before="3" w:beforeAutospacing="0" w:after="0" w:afterAutospacing="0" w:line="380" w:lineRule="exact"/>
              <w:ind w:left="0" w:right="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技术人员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木材科学与工程相关专业本科或以上学历；</w:t>
            </w:r>
          </w:p>
          <w:p w14:paraId="4E2C0A8A">
            <w:pPr>
              <w:pStyle w:val="49"/>
              <w:keepNext w:val="0"/>
              <w:keepLines w:val="0"/>
              <w:numPr>
                <w:ilvl w:val="0"/>
                <w:numId w:val="0"/>
              </w:numPr>
              <w:suppressLineNumbers w:val="0"/>
              <w:spacing w:before="3" w:beforeAutospacing="0" w:after="0" w:afterAutospacing="0" w:line="380" w:lineRule="exact"/>
              <w:ind w:left="0" w:right="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.项目管理</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具有家具监理项目经验；</w:t>
            </w:r>
          </w:p>
          <w:p w14:paraId="691833DA">
            <w:pPr>
              <w:pStyle w:val="49"/>
              <w:keepNext w:val="0"/>
              <w:keepLines w:val="0"/>
              <w:numPr>
                <w:ilvl w:val="0"/>
                <w:numId w:val="0"/>
              </w:numPr>
              <w:suppressLineNumbers w:val="0"/>
              <w:spacing w:before="3" w:beforeAutospacing="0" w:after="0" w:afterAutospacing="0" w:line="380" w:lineRule="exact"/>
              <w:ind w:left="0" w:right="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.质量服务人员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具有人力资源和社会保障</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颁发的标准化</w:t>
            </w:r>
            <w:r>
              <w:rPr>
                <w:rFonts w:hint="eastAsia" w:ascii="宋体" w:hAnsi="宋体" w:eastAsia="宋体" w:cs="宋体"/>
                <w:color w:val="auto"/>
                <w:sz w:val="21"/>
                <w:szCs w:val="21"/>
                <w:highlight w:val="none"/>
                <w:lang w:val="en-US" w:eastAsia="zh-CN"/>
              </w:rPr>
              <w:t>计量质量专业或</w:t>
            </w: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中级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以上技术资格职称；</w:t>
            </w:r>
          </w:p>
          <w:p w14:paraId="73D0D5C2">
            <w:pPr>
              <w:pStyle w:val="49"/>
              <w:keepNext w:val="0"/>
              <w:keepLines w:val="0"/>
              <w:numPr>
                <w:ilvl w:val="0"/>
                <w:numId w:val="0"/>
              </w:numPr>
              <w:suppressLineNumbers w:val="0"/>
              <w:spacing w:before="3" w:beforeAutospacing="0" w:after="0" w:afterAutospacing="0" w:line="380" w:lineRule="exact"/>
              <w:ind w:left="0" w:right="78"/>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.抽样人员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省质监部门或省质量检验协会颁发的抽样员证书。</w:t>
            </w:r>
          </w:p>
        </w:tc>
      </w:tr>
      <w:tr w14:paraId="3249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3" w:type="pct"/>
            <w:vAlign w:val="center"/>
          </w:tcPr>
          <w:p w14:paraId="135E8413">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合计</w:t>
            </w:r>
          </w:p>
        </w:tc>
        <w:tc>
          <w:tcPr>
            <w:tcW w:w="796" w:type="pct"/>
            <w:vAlign w:val="center"/>
          </w:tcPr>
          <w:p w14:paraId="05197252">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w:t>
            </w:r>
          </w:p>
        </w:tc>
        <w:tc>
          <w:tcPr>
            <w:tcW w:w="549" w:type="pct"/>
            <w:vAlign w:val="center"/>
          </w:tcPr>
          <w:p w14:paraId="667F9A35">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val="0"/>
                <w:sz w:val="21"/>
                <w:szCs w:val="21"/>
                <w:highlight w:val="none"/>
                <w:lang w:val="en-US" w:eastAsia="zh-CN"/>
              </w:rPr>
            </w:pPr>
            <w:r>
              <w:rPr>
                <w:rFonts w:hint="eastAsia" w:ascii="宋体" w:hAnsi="宋体" w:eastAsia="宋体" w:cs="宋体"/>
                <w:bCs w:val="0"/>
                <w:sz w:val="21"/>
                <w:szCs w:val="21"/>
                <w:highlight w:val="none"/>
                <w:lang w:val="en-US" w:eastAsia="zh-CN"/>
              </w:rPr>
              <w:t>6人及以上</w:t>
            </w:r>
          </w:p>
        </w:tc>
        <w:tc>
          <w:tcPr>
            <w:tcW w:w="1004" w:type="pct"/>
            <w:vAlign w:val="center"/>
          </w:tcPr>
          <w:p w14:paraId="3AB48C07">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w:t>
            </w:r>
          </w:p>
        </w:tc>
        <w:tc>
          <w:tcPr>
            <w:tcW w:w="1976" w:type="pct"/>
            <w:vAlign w:val="center"/>
          </w:tcPr>
          <w:p w14:paraId="2D542EF0">
            <w:pPr>
              <w:pStyle w:val="8"/>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Cs w:val="0"/>
                <w:sz w:val="21"/>
                <w:szCs w:val="21"/>
                <w:highlight w:val="none"/>
                <w:lang w:val="en-US" w:eastAsia="zh-CN"/>
              </w:rPr>
            </w:pPr>
            <w:r>
              <w:rPr>
                <w:rFonts w:hint="eastAsia" w:ascii="宋体" w:hAnsi="宋体" w:eastAsia="宋体" w:cs="宋体"/>
                <w:bCs w:val="0"/>
                <w:sz w:val="21"/>
                <w:szCs w:val="21"/>
                <w:highlight w:val="none"/>
                <w:lang w:val="en-US" w:eastAsia="zh-CN"/>
              </w:rPr>
              <w:t>/</w:t>
            </w:r>
          </w:p>
        </w:tc>
      </w:tr>
    </w:tbl>
    <w:p w14:paraId="3A8E8CF9">
      <w:pPr>
        <w:rPr>
          <w:rFonts w:hint="eastAsia"/>
        </w:rPr>
      </w:pPr>
    </w:p>
    <w:p w14:paraId="6EC3D13E">
      <w:pPr>
        <w:pStyle w:val="10"/>
        <w:numPr>
          <w:ilvl w:val="-1"/>
          <w:numId w:val="0"/>
        </w:numPr>
        <w:tabs>
          <w:tab w:val="left" w:pos="540"/>
        </w:tabs>
        <w:adjustRightInd w:val="0"/>
        <w:snapToGrid w:val="0"/>
        <w:spacing w:line="360" w:lineRule="auto"/>
        <w:ind w:left="0" w:firstLine="0"/>
        <w:rPr>
          <w:rFonts w:hint="eastAsia" w:hAnsi="宋体"/>
          <w:b/>
          <w:color w:val="auto"/>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三</w:t>
      </w:r>
      <w:r>
        <w:rPr>
          <w:rFonts w:hint="eastAsia" w:ascii="仿宋" w:hAnsi="仿宋" w:eastAsia="仿宋" w:cs="仿宋"/>
          <w:b/>
          <w:kern w:val="0"/>
          <w:sz w:val="24"/>
          <w:highlight w:val="none"/>
        </w:rPr>
        <w:t>）</w:t>
      </w:r>
      <w:r>
        <w:rPr>
          <w:rFonts w:hint="eastAsia" w:ascii="仿宋" w:hAnsi="仿宋" w:eastAsia="仿宋" w:cs="仿宋"/>
          <w:b/>
          <w:kern w:val="0"/>
          <w:sz w:val="24"/>
          <w:szCs w:val="21"/>
          <w:highlight w:val="none"/>
          <w:lang w:val="en-US" w:eastAsia="zh-CN"/>
        </w:rPr>
        <w:t>其他</w:t>
      </w:r>
      <w:r>
        <w:rPr>
          <w:rFonts w:hint="eastAsia" w:ascii="仿宋" w:hAnsi="仿宋" w:eastAsia="仿宋" w:cs="仿宋"/>
          <w:b/>
          <w:kern w:val="0"/>
          <w:sz w:val="24"/>
          <w:szCs w:val="21"/>
          <w:highlight w:val="none"/>
        </w:rPr>
        <w:t>要求：</w:t>
      </w:r>
    </w:p>
    <w:p w14:paraId="2795245D">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lang w:eastAsia="zh-CN"/>
        </w:rPr>
      </w:pPr>
      <w:r>
        <w:rPr>
          <w:rFonts w:hint="eastAsia" w:ascii="仿宋" w:hAnsi="仿宋" w:eastAsia="仿宋" w:cs="仿宋"/>
          <w:color w:val="000000"/>
          <w:kern w:val="0"/>
          <w:sz w:val="24"/>
          <w:szCs w:val="24"/>
          <w:highlight w:val="none"/>
          <w:lang w:val="en-US" w:eastAsia="zh-CN" w:bidi="ar-SA"/>
        </w:rPr>
        <w:t>投标人须为本项目制定服务方案、项目重点难点分析、应对措施及相关的合理化建议、</w:t>
      </w:r>
      <w:r>
        <w:rPr>
          <w:rFonts w:hint="eastAsia" w:ascii="仿宋" w:hAnsi="仿宋" w:eastAsia="仿宋" w:cs="仿宋"/>
          <w:sz w:val="24"/>
          <w:szCs w:val="24"/>
          <w:highlight w:val="none"/>
        </w:rPr>
        <w:t>质量保障措施及方案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r>
        <w:rPr>
          <w:rFonts w:hint="eastAsia" w:ascii="仿宋" w:hAnsi="仿宋" w:eastAsia="仿宋" w:cs="仿宋"/>
          <w:color w:val="000000"/>
          <w:kern w:val="0"/>
          <w:sz w:val="24"/>
          <w:szCs w:val="24"/>
          <w:highlight w:val="none"/>
          <w:lang w:val="en-US" w:eastAsia="zh-CN" w:bidi="ar-SA"/>
        </w:rPr>
        <w:t>等。</w:t>
      </w:r>
    </w:p>
    <w:p w14:paraId="1C63B974">
      <w:pPr>
        <w:pStyle w:val="10"/>
        <w:tabs>
          <w:tab w:val="left" w:pos="540"/>
        </w:tabs>
        <w:adjustRightInd w:val="0"/>
        <w:snapToGrid w:val="0"/>
        <w:spacing w:before="156" w:beforeLines="50" w:line="360" w:lineRule="auto"/>
        <w:ind w:left="420" w:hanging="420"/>
        <w:rPr>
          <w:rFonts w:hint="eastAsia" w:ascii="仿宋" w:hAnsi="仿宋" w:eastAsia="仿宋" w:cs="仿宋"/>
          <w:b/>
          <w:bCs w:val="0"/>
          <w:kern w:val="0"/>
          <w:sz w:val="24"/>
          <w:szCs w:val="21"/>
          <w:highlight w:val="none"/>
          <w:lang w:val="en-US" w:eastAsia="zh-CN" w:bidi="ar-SA"/>
        </w:rPr>
      </w:pPr>
      <w:r>
        <w:rPr>
          <w:rFonts w:hint="eastAsia" w:ascii="仿宋" w:hAnsi="仿宋" w:eastAsia="仿宋" w:cs="仿宋"/>
          <w:b/>
          <w:bCs w:val="0"/>
          <w:kern w:val="0"/>
          <w:sz w:val="24"/>
          <w:szCs w:val="24"/>
          <w:highlight w:val="none"/>
          <w:lang w:val="en-US" w:eastAsia="zh-CN" w:bidi="ar-SA"/>
        </w:rPr>
        <w:t>六、</w:t>
      </w:r>
      <w:r>
        <w:rPr>
          <w:rFonts w:hint="eastAsia" w:ascii="仿宋" w:hAnsi="仿宋" w:eastAsia="仿宋" w:cs="仿宋"/>
          <w:b/>
          <w:bCs w:val="0"/>
          <w:kern w:val="0"/>
          <w:sz w:val="24"/>
          <w:szCs w:val="21"/>
          <w:highlight w:val="none"/>
          <w:lang w:val="en-US" w:eastAsia="zh-CN" w:bidi="ar-SA"/>
        </w:rPr>
        <w:t>商务要求</w:t>
      </w:r>
      <w:r>
        <w:rPr>
          <w:rFonts w:hint="eastAsia" w:ascii="仿宋" w:hAnsi="仿宋" w:eastAsia="仿宋" w:cs="仿宋"/>
          <w:b/>
          <w:kern w:val="0"/>
          <w:sz w:val="24"/>
          <w:szCs w:val="21"/>
          <w:highlight w:val="none"/>
          <w:lang w:val="en-US" w:eastAsia="zh-CN"/>
        </w:rPr>
        <w:t>（</w:t>
      </w:r>
      <w:r>
        <w:rPr>
          <w:rFonts w:hint="eastAsia" w:ascii="仿宋" w:hAnsi="仿宋" w:eastAsia="仿宋" w:cs="仿宋"/>
          <w:b/>
          <w:bCs w:val="0"/>
          <w:i w:val="0"/>
          <w:iCs w:val="0"/>
          <w:caps w:val="0"/>
          <w:spacing w:val="0"/>
          <w:kern w:val="0"/>
          <w:sz w:val="24"/>
          <w:szCs w:val="21"/>
          <w:highlight w:val="none"/>
          <w:shd w:val="clear"/>
        </w:rPr>
        <w:t>在以下条款中，带“★”标记的为实质性条款，需要投标人作出响应。其他条款为必须满足条</w:t>
      </w:r>
      <w:r>
        <w:rPr>
          <w:rFonts w:hint="eastAsia" w:ascii="仿宋" w:hAnsi="仿宋" w:eastAsia="仿宋" w:cs="仿宋"/>
          <w:b/>
          <w:bCs w:val="0"/>
          <w:i w:val="0"/>
          <w:iCs w:val="0"/>
          <w:caps w:val="0"/>
          <w:spacing w:val="0"/>
          <w:kern w:val="0"/>
          <w:sz w:val="24"/>
          <w:szCs w:val="21"/>
          <w:highlight w:val="none"/>
          <w:shd w:val="clear"/>
          <w:lang w:val="en-US" w:eastAsia="zh-CN"/>
        </w:rPr>
        <w:t>款</w:t>
      </w:r>
      <w:r>
        <w:rPr>
          <w:rFonts w:hint="eastAsia" w:ascii="仿宋" w:hAnsi="仿宋" w:eastAsia="仿宋" w:cs="仿宋"/>
          <w:b/>
          <w:bCs w:val="0"/>
          <w:i w:val="0"/>
          <w:iCs w:val="0"/>
          <w:caps w:val="0"/>
          <w:spacing w:val="0"/>
          <w:kern w:val="0"/>
          <w:sz w:val="24"/>
          <w:szCs w:val="21"/>
          <w:highlight w:val="none"/>
          <w:shd w:val="clear"/>
        </w:rPr>
        <w:t>，</w:t>
      </w:r>
      <w:r>
        <w:rPr>
          <w:rFonts w:hint="eastAsia" w:ascii="仿宋" w:hAnsi="仿宋" w:eastAsia="仿宋" w:cs="仿宋"/>
          <w:b/>
          <w:bCs w:val="0"/>
          <w:i w:val="0"/>
          <w:iCs w:val="0"/>
          <w:caps w:val="0"/>
          <w:spacing w:val="0"/>
          <w:kern w:val="0"/>
          <w:sz w:val="24"/>
          <w:szCs w:val="21"/>
          <w:highlight w:val="none"/>
          <w:shd w:val="clear"/>
          <w:lang w:val="en-US" w:eastAsia="zh-CN"/>
        </w:rPr>
        <w:t>无</w:t>
      </w:r>
      <w:r>
        <w:rPr>
          <w:rFonts w:hint="eastAsia" w:ascii="仿宋" w:hAnsi="仿宋" w:eastAsia="仿宋" w:cs="仿宋"/>
          <w:b/>
          <w:kern w:val="0"/>
          <w:sz w:val="24"/>
          <w:szCs w:val="21"/>
          <w:highlight w:val="none"/>
          <w:lang w:eastAsia="zh-CN"/>
        </w:rPr>
        <w:t>需投标人响应，</w:t>
      </w:r>
      <w:r>
        <w:rPr>
          <w:rFonts w:hint="eastAsia" w:ascii="仿宋" w:hAnsi="仿宋" w:eastAsia="仿宋" w:cs="仿宋"/>
          <w:b/>
          <w:bCs w:val="0"/>
          <w:i w:val="0"/>
          <w:iCs w:val="0"/>
          <w:caps w:val="0"/>
          <w:spacing w:val="0"/>
          <w:kern w:val="0"/>
          <w:sz w:val="24"/>
          <w:szCs w:val="21"/>
          <w:highlight w:val="none"/>
          <w:shd w:val="clear"/>
        </w:rPr>
        <w:t>若未满足，将视为投标无效</w:t>
      </w:r>
      <w:r>
        <w:rPr>
          <w:rFonts w:hint="eastAsia" w:ascii="仿宋" w:hAnsi="仿宋" w:eastAsia="仿宋" w:cs="仿宋"/>
          <w:b/>
          <w:kern w:val="0"/>
          <w:sz w:val="24"/>
          <w:szCs w:val="21"/>
          <w:highlight w:val="none"/>
          <w:lang w:val="en-US" w:eastAsia="zh-CN"/>
        </w:rPr>
        <w:t>）</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91"/>
        <w:gridCol w:w="6863"/>
      </w:tblGrid>
      <w:tr w14:paraId="2D5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32" w:type="pct"/>
            <w:vAlign w:val="center"/>
          </w:tcPr>
          <w:p w14:paraId="05DE2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序号</w:t>
            </w:r>
          </w:p>
        </w:tc>
        <w:tc>
          <w:tcPr>
            <w:tcW w:w="640" w:type="pct"/>
            <w:vAlign w:val="center"/>
          </w:tcPr>
          <w:p w14:paraId="40366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目录</w:t>
            </w:r>
          </w:p>
        </w:tc>
        <w:tc>
          <w:tcPr>
            <w:tcW w:w="4027" w:type="pct"/>
            <w:vAlign w:val="center"/>
          </w:tcPr>
          <w:p w14:paraId="1D259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商务条款要求</w:t>
            </w:r>
          </w:p>
        </w:tc>
      </w:tr>
      <w:tr w14:paraId="5C6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2" w:type="pct"/>
            <w:vAlign w:val="center"/>
          </w:tcPr>
          <w:p w14:paraId="002D0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40" w:type="pct"/>
            <w:vAlign w:val="center"/>
          </w:tcPr>
          <w:p w14:paraId="0B93C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tc>
        <w:tc>
          <w:tcPr>
            <w:tcW w:w="4027" w:type="pct"/>
          </w:tcPr>
          <w:p w14:paraId="63FC9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自本合同签</w:t>
            </w:r>
            <w:r>
              <w:rPr>
                <w:rFonts w:hint="eastAsia" w:ascii="仿宋" w:hAnsi="仿宋" w:eastAsia="仿宋" w:cs="仿宋"/>
                <w:color w:val="000000"/>
                <w:kern w:val="0"/>
                <w:sz w:val="24"/>
                <w:szCs w:val="24"/>
                <w:highlight w:val="none"/>
                <w:lang w:val="en-US" w:eastAsia="zh-CN"/>
              </w:rPr>
              <w:t>订之日起至“深圳市龙岗中心医院</w:t>
            </w:r>
            <w:r>
              <w:rPr>
                <w:rFonts w:hint="eastAsia" w:ascii="仿宋" w:hAnsi="仿宋" w:eastAsia="仿宋" w:cs="仿宋"/>
                <w:color w:val="000000"/>
                <w:kern w:val="0"/>
                <w:sz w:val="24"/>
                <w:szCs w:val="24"/>
                <w:highlight w:val="none"/>
                <w:lang w:eastAsia="zh-CN"/>
              </w:rPr>
              <w:t>外科综合楼开办家具监理服务</w:t>
            </w:r>
            <w:r>
              <w:rPr>
                <w:rFonts w:hint="eastAsia" w:ascii="仿宋" w:hAnsi="仿宋" w:eastAsia="仿宋" w:cs="仿宋"/>
                <w:color w:val="000000"/>
                <w:kern w:val="0"/>
                <w:sz w:val="24"/>
                <w:szCs w:val="24"/>
                <w:highlight w:val="none"/>
                <w:lang w:val="en-US" w:eastAsia="zh-CN"/>
              </w:rPr>
              <w:t>项目</w:t>
            </w:r>
            <w:r>
              <w:rPr>
                <w:rFonts w:hint="eastAsia" w:ascii="仿宋" w:hAnsi="仿宋" w:eastAsia="仿宋" w:cs="仿宋"/>
                <w:color w:val="000000"/>
                <w:kern w:val="0"/>
                <w:sz w:val="24"/>
                <w:szCs w:val="24"/>
                <w:highlight w:val="none"/>
                <w:lang w:bidi="ar"/>
              </w:rPr>
              <w:t>”实施并验收合格为止。</w:t>
            </w:r>
          </w:p>
        </w:tc>
      </w:tr>
      <w:tr w14:paraId="6C82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32" w:type="pct"/>
            <w:vAlign w:val="center"/>
          </w:tcPr>
          <w:p w14:paraId="089EB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40" w:type="pct"/>
            <w:vAlign w:val="center"/>
          </w:tcPr>
          <w:p w14:paraId="1AFF7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服务地点</w:t>
            </w:r>
          </w:p>
        </w:tc>
        <w:tc>
          <w:tcPr>
            <w:tcW w:w="4027" w:type="pct"/>
            <w:vAlign w:val="center"/>
          </w:tcPr>
          <w:p w14:paraId="101BD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深圳市龙岗中心医院</w:t>
            </w:r>
          </w:p>
        </w:tc>
      </w:tr>
      <w:tr w14:paraId="0BA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vAlign w:val="center"/>
          </w:tcPr>
          <w:p w14:paraId="6C87E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40" w:type="pct"/>
            <w:vAlign w:val="center"/>
          </w:tcPr>
          <w:p w14:paraId="2D0AA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付款方式</w:t>
            </w:r>
          </w:p>
        </w:tc>
        <w:tc>
          <w:tcPr>
            <w:tcW w:w="4027" w:type="pct"/>
          </w:tcPr>
          <w:p w14:paraId="62ABCF60">
            <w:pPr>
              <w:keepNext w:val="0"/>
              <w:keepLines w:val="0"/>
              <w:widowControl/>
              <w:suppressLineNumbers w:val="0"/>
              <w:autoSpaceDE/>
              <w:autoSpaceDN/>
              <w:spacing w:before="0" w:beforeAutospacing="0" w:after="0" w:afterAutospacing="0"/>
              <w:ind w:left="0" w:right="0" w:firstLine="480" w:firstLineChars="200"/>
              <w:jc w:val="left"/>
              <w:rPr>
                <w:rFonts w:hint="eastAsia" w:ascii="仿宋" w:hAnsi="仿宋" w:eastAsia="仿宋" w:cs="仿宋"/>
                <w:color w:val="000000"/>
                <w:kern w:val="0"/>
                <w:sz w:val="24"/>
                <w:szCs w:val="24"/>
                <w:lang w:val="en-US" w:eastAsia="zh-CN" w:bidi="ar"/>
                <w:woUserID w:val="1"/>
              </w:rPr>
            </w:pPr>
            <w:r>
              <w:rPr>
                <w:rFonts w:hint="eastAsia" w:ascii="仿宋" w:hAnsi="仿宋" w:eastAsia="仿宋" w:cs="仿宋"/>
                <w:color w:val="000000"/>
                <w:kern w:val="0"/>
                <w:sz w:val="24"/>
                <w:szCs w:val="24"/>
                <w:highlight w:val="none"/>
              </w:rPr>
              <w:t>合同签订后</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采购人收到中标人发票后按照相应时间规定支付合同总价</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0%</w:t>
            </w:r>
            <w:r>
              <w:rPr>
                <w:rFonts w:hint="eastAsia" w:ascii="仿宋" w:hAnsi="仿宋" w:eastAsia="仿宋" w:cs="仿宋"/>
                <w:color w:val="000000"/>
                <w:kern w:val="0"/>
                <w:sz w:val="24"/>
                <w:szCs w:val="24"/>
                <w:highlight w:val="none"/>
                <w:lang w:val="en-US" w:eastAsia="zh-CN"/>
              </w:rPr>
              <w:t>的</w:t>
            </w:r>
            <w:r>
              <w:rPr>
                <w:rFonts w:hint="eastAsia" w:ascii="仿宋" w:hAnsi="仿宋" w:eastAsia="仿宋" w:cs="仿宋"/>
                <w:color w:val="000000"/>
                <w:kern w:val="0"/>
                <w:sz w:val="24"/>
                <w:szCs w:val="24"/>
                <w:highlight w:val="none"/>
              </w:rPr>
              <w:t>预付款。项目验收合格后，采购人收到中标人发票后按照相应时间规定支付合同总价</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0%的验收款。中标人每期收款均需提供相应的发票。</w:t>
            </w:r>
          </w:p>
        </w:tc>
      </w:tr>
      <w:tr w14:paraId="2951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32" w:type="pct"/>
            <w:vAlign w:val="center"/>
          </w:tcPr>
          <w:p w14:paraId="0D140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40" w:type="pct"/>
            <w:vAlign w:val="center"/>
          </w:tcPr>
          <w:p w14:paraId="1848A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关于验收</w:t>
            </w:r>
          </w:p>
          <w:p w14:paraId="0905C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p>
        </w:tc>
        <w:tc>
          <w:tcPr>
            <w:tcW w:w="4027" w:type="pct"/>
          </w:tcPr>
          <w:p w14:paraId="6ECFE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1、服务经过双方检验认可后，签署验收报告。</w:t>
            </w:r>
          </w:p>
          <w:p w14:paraId="553BB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2、当满足以下条件时，使用部门向中标人签发验收报告：</w:t>
            </w:r>
          </w:p>
          <w:p w14:paraId="419B1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（1）中标人已按照合同规定提供了全部技术资料。</w:t>
            </w:r>
          </w:p>
          <w:p w14:paraId="14F8B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（2）服务项目符合招标文件的服务要求。</w:t>
            </w:r>
          </w:p>
        </w:tc>
      </w:tr>
    </w:tbl>
    <w:p w14:paraId="28342109">
      <w:pPr>
        <w:rPr>
          <w:rFonts w:hint="eastAsia" w:ascii="仿宋" w:hAnsi="仿宋" w:eastAsia="仿宋" w:cs="仿宋"/>
          <w:bCs/>
          <w:color w:val="000000"/>
          <w:sz w:val="24"/>
          <w:szCs w:val="24"/>
          <w:highlight w:val="none"/>
        </w:rPr>
      </w:pPr>
    </w:p>
    <w:p w14:paraId="686D3071">
      <w:pPr>
        <w:widowControl/>
        <w:jc w:val="left"/>
        <w:rPr>
          <w:rFonts w:hint="eastAsia" w:ascii="仿宋" w:hAnsi="仿宋" w:eastAsia="仿宋" w:cs="仿宋"/>
          <w:highlight w:val="none"/>
        </w:rPr>
      </w:pPr>
    </w:p>
    <w:p w14:paraId="27D7D7B4">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5F25F9C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E053706">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14:paraId="47A38F3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F83B52B">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528DA3A">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50EE9E7">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49BCCFFE">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6EE9CA27">
      <w:pPr>
        <w:outlineLvl w:val="2"/>
        <w:rPr>
          <w:rFonts w:hint="eastAsia" w:ascii="仿宋" w:hAnsi="仿宋" w:eastAsia="仿宋" w:cs="仿宋"/>
          <w:sz w:val="24"/>
          <w:szCs w:val="24"/>
          <w:highlight w:val="none"/>
        </w:rPr>
      </w:pPr>
      <w:r>
        <w:rPr>
          <w:rStyle w:val="36"/>
          <w:rFonts w:hint="eastAsia" w:ascii="仿宋" w:hAnsi="仿宋" w:eastAsia="仿宋" w:cs="仿宋"/>
          <w:b/>
          <w:bCs w:val="0"/>
          <w:sz w:val="24"/>
          <w:szCs w:val="24"/>
          <w:highlight w:val="none"/>
        </w:rPr>
        <w:t>投标文件组成</w:t>
      </w:r>
    </w:p>
    <w:p w14:paraId="6240DD92">
      <w:pPr>
        <w:pStyle w:val="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279EF908">
      <w:pPr>
        <w:pStyle w:val="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4F5E292">
      <w:pPr>
        <w:pStyle w:val="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3045D710">
      <w:pPr>
        <w:pStyle w:val="2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510B3E98">
      <w:pPr>
        <w:pStyle w:val="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5B77DE78">
      <w:pPr>
        <w:pStyle w:val="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B0BB12A">
      <w:pPr>
        <w:pStyle w:val="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14:paraId="4C0FB7F8">
      <w:pPr>
        <w:pStyle w:val="29"/>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14:paraId="26244019">
      <w:pPr>
        <w:outlineLvl w:val="2"/>
        <w:rPr>
          <w:rFonts w:hint="eastAsia" w:ascii="仿宋" w:hAnsi="仿宋" w:eastAsia="仿宋" w:cs="仿宋"/>
          <w:b/>
          <w:bCs/>
          <w:sz w:val="28"/>
          <w:szCs w:val="28"/>
          <w:highlight w:val="none"/>
        </w:rPr>
      </w:pPr>
    </w:p>
    <w:p w14:paraId="299E11EE">
      <w:pPr>
        <w:outlineLvl w:val="2"/>
        <w:rPr>
          <w:rFonts w:hint="eastAsia" w:ascii="仿宋" w:hAnsi="仿宋" w:eastAsia="仿宋" w:cs="仿宋"/>
          <w:b/>
          <w:bCs/>
          <w:sz w:val="28"/>
          <w:szCs w:val="28"/>
          <w:highlight w:val="none"/>
        </w:rPr>
      </w:pPr>
    </w:p>
    <w:p w14:paraId="2D07D960">
      <w:pPr>
        <w:outlineLvl w:val="2"/>
        <w:rPr>
          <w:rFonts w:hint="eastAsia" w:ascii="仿宋" w:hAnsi="仿宋" w:eastAsia="仿宋" w:cs="仿宋"/>
          <w:b/>
          <w:bCs/>
          <w:sz w:val="28"/>
          <w:szCs w:val="28"/>
          <w:highlight w:val="none"/>
        </w:rPr>
      </w:pPr>
    </w:p>
    <w:p w14:paraId="1C5C17A8">
      <w:pPr>
        <w:outlineLvl w:val="2"/>
        <w:rPr>
          <w:rFonts w:hint="eastAsia" w:ascii="仿宋" w:hAnsi="仿宋" w:eastAsia="仿宋" w:cs="仿宋"/>
          <w:b/>
          <w:bCs/>
          <w:sz w:val="28"/>
          <w:szCs w:val="28"/>
          <w:highlight w:val="none"/>
        </w:rPr>
      </w:pPr>
    </w:p>
    <w:p w14:paraId="59C9446F">
      <w:pPr>
        <w:outlineLvl w:val="2"/>
        <w:rPr>
          <w:rFonts w:hint="eastAsia" w:ascii="仿宋" w:hAnsi="仿宋" w:eastAsia="仿宋" w:cs="仿宋"/>
          <w:b/>
          <w:bCs/>
          <w:sz w:val="28"/>
          <w:szCs w:val="28"/>
          <w:highlight w:val="none"/>
        </w:rPr>
      </w:pPr>
    </w:p>
    <w:p w14:paraId="036F13F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1B6D23AF">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6"/>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424FF100">
      <w:pPr>
        <w:pStyle w:val="8"/>
        <w:rPr>
          <w:rFonts w:hint="eastAsia" w:ascii="仿宋" w:hAnsi="仿宋" w:eastAsia="仿宋" w:cs="仿宋"/>
          <w:highlight w:val="none"/>
        </w:rPr>
      </w:pPr>
    </w:p>
    <w:p w14:paraId="3E1BD300">
      <w:pPr>
        <w:keepNext/>
        <w:keepLines/>
        <w:spacing w:line="360" w:lineRule="auto"/>
        <w:outlineLvl w:val="3"/>
        <w:rPr>
          <w:rFonts w:hint="eastAsia" w:ascii="仿宋" w:hAnsi="仿宋" w:eastAsia="仿宋" w:cs="仿宋"/>
          <w:b/>
          <w:bCs/>
          <w:sz w:val="24"/>
          <w:szCs w:val="24"/>
          <w:highlight w:val="none"/>
        </w:rPr>
      </w:pPr>
      <w:bookmarkStart w:id="2" w:name="_Toc24797"/>
      <w:bookmarkStart w:id="3" w:name="_Toc24698"/>
      <w:bookmarkStart w:id="4" w:name="_Toc5828"/>
      <w:bookmarkStart w:id="5" w:name="_Toc18075"/>
      <w:r>
        <w:rPr>
          <w:rFonts w:hint="eastAsia" w:ascii="仿宋" w:hAnsi="仿宋" w:eastAsia="仿宋" w:cs="仿宋"/>
          <w:b/>
          <w:bCs/>
          <w:sz w:val="24"/>
          <w:szCs w:val="24"/>
          <w:highlight w:val="none"/>
        </w:rPr>
        <w:t>一、评标指引表</w:t>
      </w:r>
      <w:bookmarkEnd w:id="2"/>
      <w:bookmarkEnd w:id="3"/>
      <w:bookmarkEnd w:id="4"/>
      <w:bookmarkEnd w:id="5"/>
    </w:p>
    <w:tbl>
      <w:tblPr>
        <w:tblStyle w:val="2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52AF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7642AE15">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6DB7B3EE">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2EFC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E57ED99">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CCBFB9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5B76D9D6">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75F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1E44DC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EA4A588">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60A6587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65C77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7C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64F388">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5A3C7B">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CC8974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46E875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AC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294F33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16F0A3D">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0053844B">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573009C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8C3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6FCB532">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6569270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7CA11C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E05A3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5ACE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441A15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A41682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45712BC4">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1DA2A1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95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9677C7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7869F3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789506D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28787C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B58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0C2D65E">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041516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A6591F3">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103284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E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BE89D85">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3D30A20A">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1B76D1B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41CB178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2294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B8562D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C573FF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3E77F2C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DFEC63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90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47C76E6">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488D8083">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44541AA">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F9A80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09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E3EB21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1808309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5C7271E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6AE83D3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57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3A862FF">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14:paraId="2C2BA29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61D3424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9A9CB0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42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9796A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7261D7E1">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FCEFA6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43A3CA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0B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1B4D59CC">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14:paraId="5907E1D4">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14:paraId="46AA308D">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01324E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F65180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0DBB65FF">
      <w:pPr>
        <w:numPr>
          <w:ilvl w:val="0"/>
          <w:numId w:val="8"/>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6E7D18C7">
      <w:pPr>
        <w:pStyle w:val="5"/>
        <w:ind w:left="0" w:leftChars="0" w:firstLine="0" w:firstLineChars="0"/>
        <w:rPr>
          <w:rFonts w:hint="eastAsia" w:ascii="仿宋" w:hAnsi="仿宋" w:eastAsia="仿宋" w:cs="仿宋"/>
          <w:b w:val="0"/>
          <w:i w:val="0"/>
          <w:caps w:val="0"/>
          <w:spacing w:val="0"/>
          <w:w w:val="100"/>
          <w:sz w:val="28"/>
          <w:highlight w:val="none"/>
        </w:rPr>
      </w:pPr>
    </w:p>
    <w:p w14:paraId="5C817998">
      <w:pPr>
        <w:pStyle w:val="8"/>
        <w:rPr>
          <w:rFonts w:hint="eastAsia" w:ascii="仿宋" w:hAnsi="仿宋" w:eastAsia="仿宋" w:cs="仿宋"/>
          <w:highlight w:val="none"/>
        </w:rPr>
      </w:pPr>
    </w:p>
    <w:p w14:paraId="610334B6">
      <w:pPr>
        <w:pStyle w:val="20"/>
        <w:rPr>
          <w:rFonts w:hint="eastAsia" w:ascii="仿宋" w:hAnsi="仿宋" w:eastAsia="仿宋" w:cs="仿宋"/>
          <w:highlight w:val="none"/>
        </w:rPr>
      </w:pPr>
    </w:p>
    <w:p w14:paraId="39E7F66A">
      <w:pPr>
        <w:rPr>
          <w:rFonts w:hint="eastAsia" w:ascii="仿宋" w:hAnsi="仿宋" w:eastAsia="仿宋" w:cs="仿宋"/>
          <w:highlight w:val="none"/>
        </w:rPr>
      </w:pPr>
    </w:p>
    <w:p w14:paraId="2A8C2A3B">
      <w:pPr>
        <w:pStyle w:val="29"/>
        <w:rPr>
          <w:rFonts w:hint="eastAsia" w:ascii="仿宋" w:hAnsi="仿宋" w:eastAsia="仿宋" w:cs="仿宋"/>
          <w:highlight w:val="none"/>
        </w:rPr>
      </w:pPr>
    </w:p>
    <w:p w14:paraId="575D7DBB">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0FA3B989">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9AF96AF">
      <w:pPr>
        <w:pStyle w:val="8"/>
        <w:rPr>
          <w:rFonts w:hint="eastAsia" w:ascii="仿宋" w:hAnsi="仿宋" w:eastAsia="仿宋" w:cs="仿宋"/>
          <w:color w:val="auto"/>
          <w:sz w:val="24"/>
          <w:szCs w:val="24"/>
          <w:highlight w:val="none"/>
        </w:rPr>
      </w:pPr>
    </w:p>
    <w:p w14:paraId="02BC1A3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7A1CA0E9">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4C821E37">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4FEE1C4">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7081BAB2">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11450877">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58D952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3E1FBE59">
      <w:pPr>
        <w:ind w:left="540" w:leftChars="257"/>
        <w:rPr>
          <w:rFonts w:hint="eastAsia" w:ascii="仿宋" w:hAnsi="仿宋" w:eastAsia="仿宋" w:cs="仿宋"/>
          <w:color w:val="auto"/>
          <w:sz w:val="24"/>
          <w:szCs w:val="24"/>
          <w:highlight w:val="none"/>
        </w:rPr>
      </w:pPr>
    </w:p>
    <w:p w14:paraId="531DBDF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4B7A317">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384F5FB9">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FF6378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7F9FEF2">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3AECB54">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649DF8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14B96CCF">
      <w:pPr>
        <w:pStyle w:val="29"/>
        <w:rPr>
          <w:rFonts w:hint="eastAsia" w:ascii="仿宋" w:hAnsi="仿宋" w:eastAsia="仿宋" w:cs="仿宋"/>
          <w:color w:val="auto"/>
          <w:sz w:val="24"/>
          <w:szCs w:val="24"/>
          <w:highlight w:val="none"/>
        </w:rPr>
      </w:pPr>
    </w:p>
    <w:p w14:paraId="464C6887">
      <w:pPr>
        <w:pStyle w:val="29"/>
        <w:rPr>
          <w:rFonts w:hint="eastAsia" w:ascii="仿宋" w:hAnsi="仿宋" w:eastAsia="仿宋" w:cs="仿宋"/>
          <w:color w:val="auto"/>
          <w:sz w:val="24"/>
          <w:szCs w:val="24"/>
          <w:highlight w:val="none"/>
        </w:rPr>
      </w:pPr>
    </w:p>
    <w:p w14:paraId="1DE2ECF2">
      <w:pPr>
        <w:pStyle w:val="29"/>
        <w:rPr>
          <w:rFonts w:hint="eastAsia" w:ascii="仿宋" w:hAnsi="仿宋" w:eastAsia="仿宋" w:cs="仿宋"/>
          <w:color w:val="auto"/>
          <w:sz w:val="24"/>
          <w:szCs w:val="24"/>
          <w:highlight w:val="none"/>
        </w:rPr>
      </w:pPr>
    </w:p>
    <w:p w14:paraId="27B65D4D">
      <w:pPr>
        <w:pStyle w:val="29"/>
        <w:rPr>
          <w:rFonts w:hint="eastAsia" w:ascii="仿宋" w:hAnsi="仿宋" w:eastAsia="仿宋" w:cs="仿宋"/>
          <w:color w:val="auto"/>
          <w:sz w:val="24"/>
          <w:szCs w:val="24"/>
          <w:highlight w:val="none"/>
        </w:rPr>
      </w:pPr>
    </w:p>
    <w:p w14:paraId="286204A4">
      <w:pPr>
        <w:pStyle w:val="29"/>
        <w:rPr>
          <w:rFonts w:hint="eastAsia" w:ascii="仿宋" w:hAnsi="仿宋" w:eastAsia="仿宋" w:cs="仿宋"/>
          <w:color w:val="auto"/>
          <w:sz w:val="24"/>
          <w:szCs w:val="24"/>
          <w:highlight w:val="none"/>
        </w:rPr>
      </w:pPr>
    </w:p>
    <w:p w14:paraId="5C0B4A99">
      <w:pPr>
        <w:pStyle w:val="29"/>
        <w:rPr>
          <w:rFonts w:hint="eastAsia" w:ascii="仿宋" w:hAnsi="仿宋" w:eastAsia="仿宋" w:cs="仿宋"/>
          <w:color w:val="auto"/>
          <w:sz w:val="24"/>
          <w:szCs w:val="24"/>
          <w:highlight w:val="none"/>
        </w:rPr>
      </w:pPr>
    </w:p>
    <w:p w14:paraId="278DCE80">
      <w:pPr>
        <w:pStyle w:val="29"/>
        <w:rPr>
          <w:rFonts w:hint="eastAsia" w:ascii="仿宋" w:hAnsi="仿宋" w:eastAsia="仿宋" w:cs="仿宋"/>
          <w:color w:val="auto"/>
          <w:sz w:val="24"/>
          <w:szCs w:val="24"/>
          <w:highlight w:val="none"/>
        </w:rPr>
      </w:pPr>
    </w:p>
    <w:p w14:paraId="2822F26F">
      <w:pPr>
        <w:pStyle w:val="29"/>
        <w:rPr>
          <w:rFonts w:hint="eastAsia" w:ascii="仿宋" w:hAnsi="仿宋" w:eastAsia="仿宋" w:cs="仿宋"/>
          <w:color w:val="auto"/>
          <w:sz w:val="24"/>
          <w:szCs w:val="24"/>
          <w:highlight w:val="none"/>
        </w:rPr>
      </w:pPr>
    </w:p>
    <w:p w14:paraId="41007B19">
      <w:pPr>
        <w:pStyle w:val="29"/>
        <w:rPr>
          <w:rFonts w:hint="eastAsia" w:ascii="仿宋" w:hAnsi="仿宋" w:eastAsia="仿宋" w:cs="仿宋"/>
          <w:color w:val="auto"/>
          <w:sz w:val="24"/>
          <w:szCs w:val="24"/>
          <w:highlight w:val="none"/>
        </w:rPr>
      </w:pPr>
    </w:p>
    <w:p w14:paraId="48F531C2">
      <w:pPr>
        <w:pStyle w:val="29"/>
        <w:rPr>
          <w:rFonts w:hint="eastAsia" w:ascii="仿宋" w:hAnsi="仿宋" w:eastAsia="仿宋" w:cs="仿宋"/>
          <w:color w:val="auto"/>
          <w:sz w:val="24"/>
          <w:szCs w:val="24"/>
          <w:highlight w:val="none"/>
        </w:rPr>
      </w:pPr>
    </w:p>
    <w:p w14:paraId="58B4510B">
      <w:pPr>
        <w:pStyle w:val="29"/>
        <w:rPr>
          <w:rFonts w:hint="eastAsia" w:ascii="仿宋" w:hAnsi="仿宋" w:eastAsia="仿宋" w:cs="仿宋"/>
          <w:color w:val="auto"/>
          <w:sz w:val="24"/>
          <w:szCs w:val="24"/>
          <w:highlight w:val="none"/>
        </w:rPr>
      </w:pPr>
    </w:p>
    <w:p w14:paraId="3B16E25C">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2F39F7BD">
      <w:pPr>
        <w:rPr>
          <w:rFonts w:hint="eastAsia" w:ascii="仿宋" w:hAnsi="仿宋" w:eastAsia="仿宋" w:cs="仿宋"/>
          <w:highlight w:val="none"/>
        </w:rPr>
      </w:pPr>
    </w:p>
    <w:p w14:paraId="677D9DF6">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（一）报价</w:t>
      </w:r>
      <w:r>
        <w:rPr>
          <w:rFonts w:hint="eastAsia" w:ascii="仿宋" w:hAnsi="仿宋" w:eastAsia="仿宋" w:cs="仿宋"/>
          <w:b/>
          <w:sz w:val="24"/>
          <w:highlight w:val="none"/>
          <w:lang w:val="en-US" w:eastAsia="zh-CN"/>
        </w:rPr>
        <w:t>明细</w:t>
      </w:r>
      <w:r>
        <w:rPr>
          <w:rFonts w:hint="eastAsia" w:ascii="仿宋" w:hAnsi="仿宋" w:eastAsia="仿宋" w:cs="仿宋"/>
          <w:b/>
          <w:sz w:val="24"/>
          <w:highlight w:val="none"/>
        </w:rPr>
        <w:t>表</w:t>
      </w:r>
    </w:p>
    <w:tbl>
      <w:tblPr>
        <w:tblStyle w:val="22"/>
        <w:tblpPr w:leftFromText="180" w:rightFromText="180" w:vertAnchor="text" w:horzAnchor="margin" w:tblpY="173"/>
        <w:tblW w:w="48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2496"/>
        <w:gridCol w:w="1778"/>
        <w:gridCol w:w="587"/>
        <w:gridCol w:w="544"/>
        <w:gridCol w:w="1401"/>
        <w:gridCol w:w="950"/>
      </w:tblGrid>
      <w:tr w14:paraId="166F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5" w:type="pct"/>
            <w:vAlign w:val="center"/>
          </w:tcPr>
          <w:p w14:paraId="3BFBD5E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370" w:type="pct"/>
            <w:vAlign w:val="center"/>
          </w:tcPr>
          <w:p w14:paraId="782FF5B7">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106" w:type="pct"/>
            <w:vAlign w:val="center"/>
          </w:tcPr>
          <w:p w14:paraId="2F370C79">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382" w:type="pct"/>
            <w:vAlign w:val="center"/>
          </w:tcPr>
          <w:p w14:paraId="3FD8B036">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355" w:type="pct"/>
            <w:vAlign w:val="center"/>
          </w:tcPr>
          <w:p w14:paraId="69E55EEC">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876" w:type="pct"/>
            <w:vAlign w:val="center"/>
          </w:tcPr>
          <w:p w14:paraId="5C58AF50">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投标报价（元）</w:t>
            </w:r>
          </w:p>
        </w:tc>
        <w:tc>
          <w:tcPr>
            <w:tcW w:w="602" w:type="pct"/>
            <w:vAlign w:val="center"/>
          </w:tcPr>
          <w:p w14:paraId="01D63B26">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备注</w:t>
            </w:r>
          </w:p>
        </w:tc>
      </w:tr>
      <w:tr w14:paraId="6E91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5" w:type="pct"/>
            <w:vAlign w:val="center"/>
          </w:tcPr>
          <w:p w14:paraId="3B6F98F7">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70" w:type="pct"/>
            <w:vAlign w:val="center"/>
          </w:tcPr>
          <w:p w14:paraId="66C23D94">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LGZXYYZBB20250703-1</w:t>
            </w:r>
          </w:p>
        </w:tc>
        <w:tc>
          <w:tcPr>
            <w:tcW w:w="1106" w:type="pct"/>
            <w:vAlign w:val="center"/>
          </w:tcPr>
          <w:p w14:paraId="03034B01">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外科综合楼开办家具监理服务</w:t>
            </w:r>
          </w:p>
        </w:tc>
        <w:tc>
          <w:tcPr>
            <w:tcW w:w="382" w:type="pct"/>
            <w:vAlign w:val="center"/>
          </w:tcPr>
          <w:p w14:paraId="6A00A7D0">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1</w:t>
            </w:r>
          </w:p>
        </w:tc>
        <w:tc>
          <w:tcPr>
            <w:tcW w:w="355" w:type="pct"/>
            <w:vAlign w:val="center"/>
          </w:tcPr>
          <w:p w14:paraId="30230C9E">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876" w:type="pct"/>
            <w:vAlign w:val="center"/>
          </w:tcPr>
          <w:p w14:paraId="107345EA">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c>
          <w:tcPr>
            <w:tcW w:w="602" w:type="pct"/>
            <w:vAlign w:val="center"/>
          </w:tcPr>
          <w:p w14:paraId="43397CAD">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bl>
    <w:p w14:paraId="6AF7733F">
      <w:pPr>
        <w:ind w:firstLine="482" w:firstLineChars="200"/>
        <w:rPr>
          <w:rFonts w:hint="eastAsia" w:ascii="仿宋" w:hAnsi="仿宋" w:eastAsia="仿宋" w:cs="仿宋"/>
          <w:b/>
          <w:bCs/>
          <w:sz w:val="24"/>
          <w:highlight w:val="none"/>
        </w:rPr>
      </w:pPr>
    </w:p>
    <w:p w14:paraId="308A8152">
      <w:pPr>
        <w:tabs>
          <w:tab w:val="left" w:pos="720"/>
        </w:tabs>
        <w:jc w:val="center"/>
        <w:rPr>
          <w:rFonts w:hint="eastAsia" w:ascii="仿宋" w:hAnsi="仿宋" w:eastAsia="仿宋" w:cs="仿宋"/>
          <w:b/>
          <w:sz w:val="24"/>
          <w:highlight w:val="none"/>
        </w:rPr>
      </w:pPr>
      <w:r>
        <w:rPr>
          <w:rFonts w:hint="eastAsia" w:ascii="仿宋" w:hAnsi="仿宋" w:eastAsia="仿宋" w:cs="仿宋"/>
          <w:b/>
          <w:sz w:val="24"/>
          <w:highlight w:val="none"/>
        </w:rPr>
        <w:t>（二）投标人认为需要涉及的其他内容报价清单</w:t>
      </w:r>
    </w:p>
    <w:p w14:paraId="4EE7AFF3">
      <w:pPr>
        <w:rPr>
          <w:rFonts w:hint="eastAsia" w:ascii="仿宋" w:hAnsi="仿宋" w:eastAsia="仿宋" w:cs="仿宋"/>
          <w:b/>
          <w:bCs/>
          <w:highlight w:val="none"/>
        </w:rPr>
      </w:pPr>
    </w:p>
    <w:p w14:paraId="4331A86D">
      <w:pPr>
        <w:ind w:firstLine="482" w:firstLineChars="200"/>
        <w:rPr>
          <w:rFonts w:hint="eastAsia" w:ascii="仿宋" w:hAnsi="仿宋" w:eastAsia="仿宋" w:cs="仿宋"/>
          <w:b/>
          <w:bCs/>
          <w:sz w:val="24"/>
          <w:highlight w:val="none"/>
        </w:rPr>
      </w:pPr>
    </w:p>
    <w:p w14:paraId="125421E5">
      <w:pPr>
        <w:pStyle w:val="10"/>
        <w:spacing w:line="360" w:lineRule="auto"/>
        <w:ind w:firstLine="420" w:firstLineChars="200"/>
        <w:rPr>
          <w:rFonts w:hint="eastAsia" w:ascii="仿宋" w:hAnsi="仿宋" w:eastAsia="仿宋" w:cs="仿宋"/>
          <w:szCs w:val="21"/>
          <w:highlight w:val="none"/>
        </w:rPr>
      </w:pPr>
    </w:p>
    <w:p w14:paraId="6CA08751">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bookmarkStart w:id="11" w:name="_GoBack"/>
      <w:bookmarkEnd w:id="11"/>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10738DF5">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3"/>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7D43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D8195E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29B9B40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6075D9B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495BEFD0">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34CD80D8">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0E63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057F5AF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09C70935">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413D32E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B2AD880">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2A40DFA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2A83CD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2FB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72CDD44">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66C82A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66E1BC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A86C0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7910B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08127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52823C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2921B7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5242B57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426382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19D8CA3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14:paraId="525D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424EAEB">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5A04F870">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0CC9A92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5070589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DA4228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7A9EF01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2CA4C92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219CF46">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4814C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587DA1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4A7BB5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5F63494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8A62ED1">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59B78C0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4BA8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3DD165D">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6C91DFEE">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5F66A6F5">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7683E48">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025BDF8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5CF264D">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5CD7F469">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4CEB262A">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540536D3">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6B5CC53B">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640E96E">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4369413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0C601CB7">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4828CAE">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2D2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57DE22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B534986">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76B09D72">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w:t>
            </w:r>
          </w:p>
          <w:p w14:paraId="0FA93114">
            <w:pPr>
              <w:keepNext w:val="0"/>
              <w:keepLines w:val="0"/>
              <w:suppressLineNumbers w:val="0"/>
              <w:spacing w:before="0" w:beforeAutospacing="0" w:after="0" w:afterAutospacing="0"/>
              <w:ind w:left="0" w:right="0"/>
              <w:rPr>
                <w:rFonts w:hint="eastAsia" w:ascii="Calibri" w:hAnsi="Calibri" w:eastAsia="宋体" w:cs="Calibri"/>
                <w:kern w:val="2"/>
                <w:sz w:val="21"/>
                <w:szCs w:val="21"/>
                <w:lang w:val="en-US" w:eastAsia="zh-CN" w:bidi="ar-SA"/>
              </w:rPr>
            </w:pPr>
          </w:p>
          <w:p w14:paraId="71A64A6B">
            <w:pPr>
              <w:keepNext w:val="0"/>
              <w:keepLines w:val="0"/>
              <w:suppressLineNumbers w:val="0"/>
              <w:spacing w:before="0" w:beforeAutospacing="0" w:after="0" w:afterAutospacing="0"/>
              <w:ind w:left="0" w:right="0"/>
              <w:jc w:val="center"/>
              <w:rPr>
                <w:rFonts w:hint="eastAsia"/>
                <w:lang w:val="en-US" w:eastAsia="zh-CN"/>
              </w:rPr>
            </w:pPr>
          </w:p>
        </w:tc>
        <w:tc>
          <w:tcPr>
            <w:tcW w:w="1323" w:type="dxa"/>
            <w:vAlign w:val="center"/>
          </w:tcPr>
          <w:p w14:paraId="2917F95C">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4194FBA4">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B961C7F">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45861A7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27F4F8A">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651AB87C">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6075975">
      <w:pPr>
        <w:outlineLvl w:val="3"/>
        <w:rPr>
          <w:rFonts w:hint="eastAsia" w:ascii="仿宋" w:hAnsi="仿宋" w:eastAsia="仿宋" w:cs="仿宋"/>
          <w:b/>
          <w:szCs w:val="21"/>
          <w:highlight w:val="none"/>
        </w:rPr>
      </w:pPr>
      <w:bookmarkStart w:id="7" w:name="_Toc7602"/>
    </w:p>
    <w:bookmarkEnd w:id="7"/>
    <w:p w14:paraId="26554BD2">
      <w:pPr>
        <w:rPr>
          <w:rFonts w:hint="eastAsia" w:ascii="仿宋" w:hAnsi="仿宋" w:eastAsia="仿宋" w:cs="仿宋"/>
          <w:highlight w:val="none"/>
        </w:rPr>
      </w:pPr>
    </w:p>
    <w:p w14:paraId="1C7BE001">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7CD8B432">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3A86F80F">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39F2B5C9">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599638E4">
      <w:pPr>
        <w:adjustRightInd w:val="0"/>
        <w:jc w:val="center"/>
        <w:outlineLvl w:val="4"/>
        <w:rPr>
          <w:rFonts w:hint="eastAsia" w:ascii="仿宋" w:hAnsi="仿宋" w:eastAsia="仿宋" w:cs="仿宋"/>
          <w:b/>
          <w:bCs/>
          <w:sz w:val="24"/>
          <w:szCs w:val="24"/>
          <w:highlight w:val="none"/>
        </w:rPr>
      </w:pPr>
    </w:p>
    <w:p w14:paraId="6870A206">
      <w:pPr>
        <w:adjustRightInd w:val="0"/>
        <w:jc w:val="both"/>
        <w:outlineLvl w:val="4"/>
        <w:rPr>
          <w:rFonts w:hint="eastAsia" w:ascii="仿宋" w:hAnsi="仿宋" w:eastAsia="仿宋" w:cs="仿宋"/>
          <w:b/>
          <w:bCs/>
          <w:sz w:val="24"/>
          <w:szCs w:val="24"/>
          <w:highlight w:val="none"/>
          <w:lang w:val="en-US" w:eastAsia="zh-CN"/>
        </w:rPr>
      </w:pPr>
    </w:p>
    <w:p w14:paraId="361A408E">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599C0FBB">
      <w:pPr>
        <w:shd w:val="clear"/>
        <w:snapToGrid w:val="0"/>
        <w:spacing w:line="360" w:lineRule="auto"/>
        <w:rPr>
          <w:rFonts w:hint="eastAsia" w:ascii="仿宋" w:hAnsi="仿宋" w:eastAsia="仿宋" w:cs="仿宋"/>
          <w:color w:val="auto"/>
          <w:sz w:val="24"/>
          <w:szCs w:val="24"/>
          <w:highlight w:val="none"/>
        </w:rPr>
      </w:pPr>
    </w:p>
    <w:p w14:paraId="6766B812">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0E4238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0079E49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0B6C2D4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3F77E7E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022F3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6E834E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6E25596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7165D9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5DC8D1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011ACEA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41D72BF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361BD1A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0E2BE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3B12328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40872A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611B319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1BDDD7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AE16F5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E0C567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5"/>
        <w:widowControl w:val="0"/>
        <w:numPr>
          <w:ilvl w:val="0"/>
          <w:numId w:val="0"/>
        </w:numPr>
        <w:jc w:val="both"/>
        <w:rPr>
          <w:rFonts w:hint="default" w:ascii="仿宋" w:hAnsi="仿宋" w:eastAsia="仿宋" w:cs="仿宋"/>
          <w:b/>
          <w:bCs/>
          <w:sz w:val="24"/>
          <w:szCs w:val="24"/>
          <w:highlight w:val="none"/>
          <w:lang w:val="en-US" w:eastAsia="zh-CN"/>
        </w:rPr>
      </w:pPr>
    </w:p>
    <w:p w14:paraId="16F21D0D">
      <w:pPr>
        <w:pStyle w:val="5"/>
        <w:widowControl w:val="0"/>
        <w:numPr>
          <w:ilvl w:val="0"/>
          <w:numId w:val="0"/>
        </w:numPr>
        <w:jc w:val="both"/>
        <w:rPr>
          <w:rFonts w:hint="default" w:ascii="仿宋" w:hAnsi="仿宋" w:eastAsia="仿宋" w:cs="仿宋"/>
          <w:b/>
          <w:bCs/>
          <w:sz w:val="24"/>
          <w:szCs w:val="24"/>
          <w:highlight w:val="none"/>
          <w:lang w:val="en-US" w:eastAsia="zh-CN"/>
        </w:rPr>
      </w:pPr>
    </w:p>
    <w:p w14:paraId="0836DAF0">
      <w:pPr>
        <w:rPr>
          <w:rFonts w:hint="eastAsia" w:ascii="仿宋" w:hAnsi="仿宋" w:eastAsia="仿宋" w:cs="仿宋"/>
          <w:b/>
          <w:bCs/>
          <w:kern w:val="2"/>
          <w:sz w:val="24"/>
          <w:szCs w:val="24"/>
          <w:highlight w:val="none"/>
          <w:lang w:val="en-US" w:eastAsia="zh-CN" w:bidi="ar-SA"/>
        </w:rPr>
      </w:pPr>
      <w:bookmarkStart w:id="8" w:name="_Toc743"/>
      <w:bookmarkStart w:id="9" w:name="_Toc29757"/>
      <w:r>
        <w:rPr>
          <w:rFonts w:hint="eastAsia" w:ascii="仿宋" w:hAnsi="仿宋" w:eastAsia="仿宋" w:cs="仿宋"/>
          <w:b/>
          <w:bCs/>
          <w:kern w:val="2"/>
          <w:sz w:val="24"/>
          <w:szCs w:val="24"/>
          <w:highlight w:val="none"/>
          <w:lang w:val="en-US" w:eastAsia="zh-CN" w:bidi="ar-SA"/>
        </w:rPr>
        <w:br w:type="page"/>
      </w:r>
    </w:p>
    <w:p w14:paraId="10601471">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240EA94C">
      <w:pPr>
        <w:pStyle w:val="10"/>
        <w:spacing w:line="360" w:lineRule="auto"/>
        <w:jc w:val="center"/>
        <w:rPr>
          <w:rFonts w:hint="eastAsia" w:ascii="仿宋" w:hAnsi="仿宋" w:eastAsia="仿宋" w:cs="仿宋"/>
          <w:b/>
          <w:bCs/>
          <w:sz w:val="24"/>
          <w:szCs w:val="24"/>
          <w:highlight w:val="none"/>
        </w:rPr>
      </w:pPr>
    </w:p>
    <w:p w14:paraId="4EB5FCDD">
      <w:pPr>
        <w:pStyle w:val="1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52998DC6">
      <w:pPr>
        <w:widowControl/>
        <w:autoSpaceDE w:val="0"/>
        <w:autoSpaceDN w:val="0"/>
        <w:ind w:right="893"/>
        <w:jc w:val="center"/>
        <w:textAlignment w:val="bottom"/>
        <w:rPr>
          <w:rFonts w:hint="eastAsia" w:ascii="仿宋" w:hAnsi="仿宋" w:eastAsia="仿宋" w:cs="仿宋"/>
          <w:sz w:val="24"/>
          <w:szCs w:val="24"/>
          <w:highlight w:val="none"/>
        </w:rPr>
      </w:pPr>
    </w:p>
    <w:p w14:paraId="1C0A1EC2">
      <w:pPr>
        <w:pStyle w:val="8"/>
        <w:rPr>
          <w:rFonts w:hint="eastAsia" w:ascii="仿宋" w:hAnsi="仿宋" w:eastAsia="仿宋" w:cs="仿宋"/>
          <w:sz w:val="24"/>
          <w:szCs w:val="24"/>
          <w:highlight w:val="none"/>
        </w:rPr>
      </w:pPr>
    </w:p>
    <w:p w14:paraId="5B6A53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15CDA8A2">
      <w:pPr>
        <w:ind w:firstLine="480" w:firstLineChars="200"/>
        <w:rPr>
          <w:rFonts w:hint="eastAsia" w:ascii="仿宋" w:hAnsi="仿宋" w:eastAsia="仿宋" w:cs="仿宋"/>
          <w:bCs/>
          <w:color w:val="auto"/>
          <w:kern w:val="2"/>
          <w:sz w:val="24"/>
          <w:szCs w:val="24"/>
          <w:highlight w:val="none"/>
          <w:lang w:val="en-US" w:eastAsia="zh-CN" w:bidi="ar-SA"/>
        </w:rPr>
      </w:pPr>
    </w:p>
    <w:p w14:paraId="45FD7CE5">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9769B60">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6F2AA7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B3B71B7">
      <w:pPr>
        <w:ind w:firstLine="480" w:firstLineChars="200"/>
        <w:rPr>
          <w:rFonts w:hint="eastAsia" w:ascii="仿宋" w:hAnsi="仿宋" w:eastAsia="仿宋" w:cs="仿宋"/>
          <w:color w:val="auto"/>
          <w:sz w:val="24"/>
          <w:szCs w:val="24"/>
          <w:highlight w:val="none"/>
        </w:rPr>
      </w:pPr>
    </w:p>
    <w:p w14:paraId="1846957E">
      <w:pPr>
        <w:ind w:firstLine="480" w:firstLineChars="200"/>
        <w:rPr>
          <w:rFonts w:hint="eastAsia" w:ascii="仿宋" w:hAnsi="仿宋" w:eastAsia="仿宋" w:cs="仿宋"/>
          <w:color w:val="auto"/>
          <w:sz w:val="24"/>
          <w:szCs w:val="24"/>
          <w:highlight w:val="none"/>
        </w:rPr>
      </w:pPr>
    </w:p>
    <w:p w14:paraId="47AD007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80C3D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FDF5F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16F58DA4">
      <w:pPr>
        <w:widowControl/>
        <w:autoSpaceDE w:val="0"/>
        <w:autoSpaceDN w:val="0"/>
        <w:ind w:right="893"/>
        <w:textAlignment w:val="bottom"/>
        <w:rPr>
          <w:rFonts w:hint="eastAsia" w:ascii="仿宋" w:hAnsi="仿宋" w:eastAsia="仿宋" w:cs="仿宋"/>
          <w:color w:val="auto"/>
          <w:sz w:val="24"/>
          <w:szCs w:val="24"/>
          <w:highlight w:val="none"/>
        </w:rPr>
      </w:pPr>
    </w:p>
    <w:p w14:paraId="38AF8B3C">
      <w:pPr>
        <w:widowControl/>
        <w:autoSpaceDE w:val="0"/>
        <w:autoSpaceDN w:val="0"/>
        <w:ind w:right="893"/>
        <w:textAlignment w:val="bottom"/>
        <w:rPr>
          <w:rFonts w:hint="eastAsia" w:ascii="仿宋" w:hAnsi="仿宋" w:eastAsia="仿宋" w:cs="仿宋"/>
          <w:color w:val="auto"/>
          <w:sz w:val="24"/>
          <w:szCs w:val="24"/>
          <w:highlight w:val="none"/>
        </w:rPr>
      </w:pPr>
    </w:p>
    <w:p w14:paraId="760DB29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374862EA">
      <w:pPr>
        <w:keepNext/>
        <w:keepLines/>
        <w:spacing w:line="360" w:lineRule="auto"/>
        <w:rPr>
          <w:rFonts w:hint="eastAsia" w:ascii="仿宋" w:hAnsi="仿宋" w:eastAsia="仿宋" w:cs="仿宋"/>
          <w:color w:val="auto"/>
          <w:sz w:val="24"/>
          <w:szCs w:val="24"/>
          <w:highlight w:val="none"/>
        </w:rPr>
      </w:pPr>
    </w:p>
    <w:p w14:paraId="1427F683">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DA801B">
                        <w:pPr>
                          <w:jc w:val="center"/>
                        </w:pPr>
                        <w:r>
                          <w:rPr>
                            <w:rFonts w:hint="eastAsia"/>
                          </w:rPr>
                          <w:t>居民身份证扫描件粘贴处</w:t>
                        </w:r>
                      </w:p>
                      <w:p w14:paraId="697B02D8">
                        <w:pPr>
                          <w:ind w:firstLine="1050" w:firstLineChars="500"/>
                        </w:pPr>
                      </w:p>
                      <w:p w14:paraId="7B7CF709">
                        <w:pPr>
                          <w:jc w:val="center"/>
                        </w:pPr>
                        <w:r>
                          <w:rPr>
                            <w:rFonts w:hint="eastAsia"/>
                          </w:rPr>
                          <w:t>（人像面）</w:t>
                        </w:r>
                      </w:p>
                      <w:p w14:paraId="7F1B56A1"/>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D31A48E">
                        <w:pPr>
                          <w:jc w:val="center"/>
                        </w:pPr>
                        <w:r>
                          <w:rPr>
                            <w:rFonts w:hint="eastAsia"/>
                          </w:rPr>
                          <w:t>居民身份证扫描件粘贴处</w:t>
                        </w:r>
                      </w:p>
                      <w:p w14:paraId="520C305B">
                        <w:pPr>
                          <w:ind w:firstLine="1050" w:firstLineChars="500"/>
                        </w:pPr>
                      </w:p>
                      <w:p w14:paraId="466BFF5E">
                        <w:pPr>
                          <w:jc w:val="center"/>
                        </w:pPr>
                        <w:r>
                          <w:rPr>
                            <w:rFonts w:hint="eastAsia"/>
                          </w:rPr>
                          <w:t>（国徽面）</w:t>
                        </w:r>
                      </w:p>
                      <w:p w14:paraId="11041A18"/>
                    </w:txbxContent>
                  </v:textbox>
                </v:rect>
              </v:group>
            </w:pict>
          </mc:Fallback>
        </mc:AlternateContent>
      </w:r>
    </w:p>
    <w:p w14:paraId="316F2B0E">
      <w:pPr>
        <w:keepNext/>
        <w:keepLines/>
        <w:spacing w:line="360" w:lineRule="auto"/>
        <w:rPr>
          <w:rFonts w:hint="eastAsia" w:ascii="仿宋" w:hAnsi="仿宋" w:eastAsia="仿宋" w:cs="仿宋"/>
          <w:sz w:val="24"/>
          <w:szCs w:val="24"/>
          <w:highlight w:val="none"/>
        </w:rPr>
      </w:pPr>
    </w:p>
    <w:p w14:paraId="3FDDF4D1">
      <w:pPr>
        <w:keepNext/>
        <w:keepLines/>
        <w:spacing w:line="360" w:lineRule="auto"/>
        <w:rPr>
          <w:rFonts w:hint="eastAsia" w:ascii="仿宋" w:hAnsi="仿宋" w:eastAsia="仿宋" w:cs="仿宋"/>
          <w:sz w:val="24"/>
          <w:szCs w:val="24"/>
          <w:highlight w:val="none"/>
        </w:rPr>
      </w:pPr>
    </w:p>
    <w:p w14:paraId="1AFE74F7">
      <w:pPr>
        <w:keepNext/>
        <w:keepLines/>
        <w:spacing w:line="360" w:lineRule="auto"/>
        <w:rPr>
          <w:rFonts w:hint="eastAsia" w:ascii="仿宋" w:hAnsi="仿宋" w:eastAsia="仿宋" w:cs="仿宋"/>
          <w:sz w:val="24"/>
          <w:szCs w:val="24"/>
          <w:highlight w:val="none"/>
        </w:rPr>
      </w:pPr>
    </w:p>
    <w:p w14:paraId="6271B4FF">
      <w:pPr>
        <w:keepNext/>
        <w:keepLines/>
        <w:spacing w:line="360" w:lineRule="auto"/>
        <w:rPr>
          <w:rFonts w:hint="eastAsia" w:ascii="仿宋" w:hAnsi="仿宋" w:eastAsia="仿宋" w:cs="仿宋"/>
          <w:sz w:val="24"/>
          <w:szCs w:val="24"/>
          <w:highlight w:val="none"/>
        </w:rPr>
      </w:pPr>
    </w:p>
    <w:p w14:paraId="26EE9976">
      <w:pPr>
        <w:keepNext/>
        <w:keepLines/>
        <w:spacing w:line="360" w:lineRule="auto"/>
        <w:rPr>
          <w:rFonts w:hint="eastAsia" w:ascii="仿宋" w:hAnsi="仿宋" w:eastAsia="仿宋" w:cs="仿宋"/>
          <w:sz w:val="24"/>
          <w:szCs w:val="24"/>
          <w:highlight w:val="none"/>
        </w:rPr>
      </w:pPr>
    </w:p>
    <w:p w14:paraId="5974D3F6">
      <w:pPr>
        <w:keepNext/>
        <w:keepLines/>
        <w:spacing w:line="360" w:lineRule="auto"/>
        <w:rPr>
          <w:rFonts w:hint="eastAsia" w:ascii="仿宋" w:hAnsi="仿宋" w:eastAsia="仿宋" w:cs="仿宋"/>
          <w:sz w:val="24"/>
          <w:szCs w:val="24"/>
          <w:highlight w:val="none"/>
        </w:rPr>
      </w:pPr>
    </w:p>
    <w:p w14:paraId="71EFCF1A">
      <w:pPr>
        <w:keepNext/>
        <w:keepLines/>
        <w:spacing w:line="360" w:lineRule="auto"/>
        <w:rPr>
          <w:rFonts w:hint="eastAsia" w:ascii="仿宋" w:hAnsi="仿宋" w:eastAsia="仿宋" w:cs="仿宋"/>
          <w:sz w:val="24"/>
          <w:szCs w:val="24"/>
          <w:highlight w:val="none"/>
        </w:rPr>
      </w:pPr>
    </w:p>
    <w:p w14:paraId="4F574203">
      <w:pPr>
        <w:keepNext/>
        <w:keepLines/>
        <w:spacing w:line="360" w:lineRule="auto"/>
        <w:rPr>
          <w:rFonts w:hint="eastAsia" w:ascii="仿宋" w:hAnsi="仿宋" w:eastAsia="仿宋" w:cs="仿宋"/>
          <w:sz w:val="24"/>
          <w:szCs w:val="24"/>
          <w:highlight w:val="none"/>
        </w:rPr>
      </w:pPr>
    </w:p>
    <w:p w14:paraId="0A44A845">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0CE66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A42D93D">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630B5ED3">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4B0E45E7">
      <w:pPr>
        <w:spacing w:line="360" w:lineRule="auto"/>
        <w:jc w:val="center"/>
        <w:rPr>
          <w:rFonts w:hint="eastAsia" w:ascii="仿宋" w:hAnsi="仿宋" w:eastAsia="仿宋" w:cs="仿宋"/>
          <w:b/>
          <w:bCs/>
          <w:sz w:val="24"/>
          <w:szCs w:val="24"/>
          <w:highlight w:val="none"/>
        </w:rPr>
      </w:pPr>
    </w:p>
    <w:p w14:paraId="7A88D42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1E4F8F19">
      <w:pPr>
        <w:spacing w:line="360" w:lineRule="auto"/>
        <w:jc w:val="center"/>
        <w:rPr>
          <w:rFonts w:hint="eastAsia" w:ascii="仿宋" w:hAnsi="仿宋" w:eastAsia="仿宋" w:cs="仿宋"/>
          <w:sz w:val="24"/>
          <w:szCs w:val="24"/>
          <w:highlight w:val="none"/>
        </w:rPr>
      </w:pPr>
    </w:p>
    <w:p w14:paraId="3D39D755">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1E27EF54">
      <w:pPr>
        <w:pStyle w:val="10"/>
        <w:ind w:left="660" w:leftChars="200" w:right="420" w:hanging="240" w:hangingChars="10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本授权书声明：注册于中华人民共和</w:t>
      </w:r>
      <w:r>
        <w:rPr>
          <w:rFonts w:hint="eastAsia" w:ascii="仿宋" w:hAnsi="仿宋" w:eastAsia="仿宋" w:cs="仿宋"/>
          <w:color w:val="auto"/>
          <w:sz w:val="24"/>
          <w:szCs w:val="24"/>
          <w:highlight w:val="none"/>
          <w:lang w:val="en-US" w:eastAsia="zh-CN"/>
          <w:woUserID w:val="1"/>
        </w:rPr>
        <w:t>国</w:t>
      </w:r>
      <w:r>
        <w:rPr>
          <w:rFonts w:hint="eastAsia" w:ascii="仿宋" w:hAnsi="仿宋" w:eastAsia="仿宋" w:cs="仿宋"/>
          <w:color w:val="auto"/>
          <w:sz w:val="24"/>
          <w:szCs w:val="24"/>
          <w:highlight w:val="none"/>
          <w:woUserID w:val="1"/>
        </w:rPr>
        <w:t>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（投标人名称）</w:t>
      </w:r>
    </w:p>
    <w:p w14:paraId="26E04335">
      <w:pPr>
        <w:pStyle w:val="10"/>
        <w:ind w:right="420"/>
        <w:jc w:val="left"/>
        <w:rPr>
          <w:rFonts w:hint="eastAsia" w:ascii="仿宋" w:hAnsi="仿宋" w:eastAsia="仿宋" w:cs="仿宋"/>
          <w:color w:val="auto"/>
          <w:sz w:val="24"/>
          <w:szCs w:val="24"/>
          <w:highlight w:val="none"/>
          <w:woUserID w:val="1"/>
        </w:rPr>
      </w:pPr>
      <w:r>
        <w:rPr>
          <w:rFonts w:hint="eastAsia" w:ascii="仿宋" w:hAnsi="仿宋" w:eastAsia="仿宋" w:cs="仿宋"/>
          <w:color w:val="auto"/>
          <w:sz w:val="24"/>
          <w:szCs w:val="24"/>
          <w:highlight w:val="none"/>
          <w:woUserID w:val="1"/>
        </w:rPr>
        <w:t>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（法定代表人姓名、职务）代表我方授权在下面签字的</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u w:val="single"/>
          <w:lang w:val="en-US" w:eastAsia="zh-CN"/>
          <w:woUserID w:val="1"/>
        </w:rPr>
        <w:t xml:space="preserve">     </w:t>
      </w:r>
      <w:r>
        <w:rPr>
          <w:rFonts w:hint="eastAsia" w:ascii="仿宋" w:hAnsi="仿宋" w:eastAsia="仿宋" w:cs="仿宋"/>
          <w:color w:val="auto"/>
          <w:sz w:val="24"/>
          <w:szCs w:val="24"/>
          <w:highlight w:val="none"/>
          <w:woUserID w:val="1"/>
        </w:rPr>
        <w:t>（被授权人的姓名、职务）为本公司的合法代表人，</w:t>
      </w:r>
      <w:r>
        <w:rPr>
          <w:rFonts w:hint="eastAsia" w:ascii="仿宋" w:hAnsi="仿宋" w:eastAsia="仿宋" w:cs="仿宋"/>
          <w:color w:val="auto"/>
          <w:sz w:val="24"/>
          <w:szCs w:val="24"/>
          <w:highlight w:val="none"/>
          <w:lang w:val="en-US" w:eastAsia="zh-CN"/>
          <w:woUserID w:val="1"/>
        </w:rPr>
        <w:t>为</w:t>
      </w:r>
      <w:r>
        <w:rPr>
          <w:rFonts w:hint="eastAsia" w:ascii="仿宋" w:hAnsi="仿宋" w:eastAsia="仿宋" w:cs="仿宋"/>
          <w:color w:val="auto"/>
          <w:sz w:val="24"/>
          <w:szCs w:val="24"/>
          <w:highlight w:val="none"/>
          <w:woUserID w:val="1"/>
        </w:rPr>
        <w:t>深圳</w:t>
      </w:r>
      <w:r>
        <w:rPr>
          <w:rFonts w:hint="eastAsia" w:ascii="仿宋" w:hAnsi="仿宋" w:eastAsia="仿宋" w:cs="仿宋"/>
          <w:color w:val="auto"/>
          <w:sz w:val="24"/>
          <w:szCs w:val="24"/>
          <w:highlight w:val="none"/>
          <w:lang w:val="en-US" w:eastAsia="zh-CN"/>
          <w:woUserID w:val="1"/>
        </w:rPr>
        <w:t>市龙岗中心医院</w:t>
      </w:r>
      <w:r>
        <w:rPr>
          <w:rFonts w:hint="eastAsia" w:ascii="仿宋" w:hAnsi="仿宋" w:eastAsia="仿宋" w:cs="仿宋"/>
          <w:color w:val="auto"/>
          <w:sz w:val="24"/>
          <w:szCs w:val="24"/>
          <w:highlight w:val="none"/>
          <w:u w:val="single"/>
          <w:woUserID w:val="1"/>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woUserID w:val="1"/>
        </w:rPr>
        <w:t>采购项目</w:t>
      </w:r>
      <w:r>
        <w:rPr>
          <w:rFonts w:hint="eastAsia" w:ascii="仿宋" w:hAnsi="仿宋" w:eastAsia="仿宋" w:cs="仿宋"/>
          <w:color w:val="auto"/>
          <w:sz w:val="24"/>
          <w:szCs w:val="24"/>
          <w:highlight w:val="none"/>
          <w:lang w:val="en-US" w:eastAsia="zh-CN"/>
          <w:woUserID w:val="1"/>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woUserID w:val="1"/>
        </w:rPr>
        <w:t>项目</w:t>
      </w:r>
      <w:r>
        <w:rPr>
          <w:rFonts w:hint="eastAsia" w:ascii="仿宋" w:hAnsi="仿宋" w:eastAsia="仿宋" w:cs="仿宋"/>
          <w:color w:val="auto"/>
          <w:sz w:val="24"/>
          <w:szCs w:val="24"/>
          <w:highlight w:val="none"/>
          <w:woUserID w:val="1"/>
        </w:rPr>
        <w:t>编号：</w:t>
      </w:r>
      <w:r>
        <w:rPr>
          <w:rFonts w:hint="eastAsia" w:ascii="仿宋" w:hAnsi="仿宋" w:eastAsia="仿宋" w:cs="仿宋"/>
          <w:color w:val="auto"/>
          <w:sz w:val="24"/>
          <w:szCs w:val="24"/>
          <w:highlight w:val="none"/>
          <w:u w:val="single"/>
          <w:woUserID w:val="1"/>
        </w:rPr>
        <w:t>　　　　</w:t>
      </w:r>
      <w:r>
        <w:rPr>
          <w:rFonts w:hint="eastAsia" w:ascii="仿宋" w:hAnsi="仿宋" w:eastAsia="仿宋" w:cs="仿宋"/>
          <w:color w:val="auto"/>
          <w:sz w:val="24"/>
          <w:szCs w:val="24"/>
          <w:highlight w:val="none"/>
          <w:woUserID w:val="1"/>
        </w:rPr>
        <w:t>的投标和合同执行，以我方的名义处理一切与之有关的事宜。</w:t>
      </w:r>
    </w:p>
    <w:p w14:paraId="3540F278">
      <w:pPr>
        <w:spacing w:line="360" w:lineRule="auto"/>
        <w:rPr>
          <w:rFonts w:hint="eastAsia" w:ascii="仿宋" w:hAnsi="仿宋" w:eastAsia="仿宋" w:cs="仿宋"/>
          <w:color w:val="auto"/>
          <w:sz w:val="24"/>
          <w:szCs w:val="24"/>
          <w:highlight w:val="none"/>
        </w:rPr>
      </w:pPr>
    </w:p>
    <w:p w14:paraId="1BD529B0">
      <w:pPr>
        <w:pStyle w:val="10"/>
        <w:rPr>
          <w:rFonts w:hint="eastAsia"/>
        </w:rPr>
      </w:pPr>
    </w:p>
    <w:p w14:paraId="4A5EB8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74E4515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65DE463E">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408996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BB6E94B">
      <w:pPr>
        <w:widowControl/>
        <w:autoSpaceDE w:val="0"/>
        <w:autoSpaceDN w:val="0"/>
        <w:ind w:right="893"/>
        <w:textAlignment w:val="bottom"/>
        <w:rPr>
          <w:rFonts w:hint="eastAsia" w:ascii="仿宋" w:hAnsi="仿宋" w:eastAsia="仿宋" w:cs="仿宋"/>
          <w:color w:val="auto"/>
          <w:sz w:val="24"/>
          <w:szCs w:val="24"/>
          <w:highlight w:val="none"/>
        </w:rPr>
      </w:pPr>
    </w:p>
    <w:p w14:paraId="1F6DC95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311758B9">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95034FE">
                        <w:pPr>
                          <w:jc w:val="center"/>
                        </w:pPr>
                        <w:r>
                          <w:rPr>
                            <w:rFonts w:hint="eastAsia"/>
                          </w:rPr>
                          <w:t>居民身份证扫描件粘贴处</w:t>
                        </w:r>
                      </w:p>
                      <w:p w14:paraId="118E80C5">
                        <w:pPr>
                          <w:ind w:firstLine="1050" w:firstLineChars="500"/>
                        </w:pPr>
                      </w:p>
                      <w:p w14:paraId="57D7B57A">
                        <w:pPr>
                          <w:jc w:val="center"/>
                        </w:pPr>
                        <w:r>
                          <w:rPr>
                            <w:rFonts w:hint="eastAsia"/>
                          </w:rPr>
                          <w:t>（人像面）</w:t>
                        </w:r>
                      </w:p>
                      <w:p w14:paraId="5362D833"/>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530239">
                        <w:pPr>
                          <w:jc w:val="center"/>
                        </w:pPr>
                        <w:r>
                          <w:rPr>
                            <w:rFonts w:hint="eastAsia"/>
                          </w:rPr>
                          <w:t>居民身份证扫描件粘贴处</w:t>
                        </w:r>
                      </w:p>
                      <w:p w14:paraId="56B82D08">
                        <w:pPr>
                          <w:ind w:firstLine="1050" w:firstLineChars="500"/>
                        </w:pPr>
                      </w:p>
                      <w:p w14:paraId="0527F17E">
                        <w:pPr>
                          <w:jc w:val="center"/>
                        </w:pPr>
                        <w:r>
                          <w:rPr>
                            <w:rFonts w:hint="eastAsia"/>
                          </w:rPr>
                          <w:t>（国徽面）</w:t>
                        </w:r>
                      </w:p>
                      <w:p w14:paraId="21400D2A"/>
                    </w:txbxContent>
                  </v:textbox>
                </v:rect>
              </v:group>
            </w:pict>
          </mc:Fallback>
        </mc:AlternateContent>
      </w:r>
    </w:p>
    <w:p w14:paraId="2A3B5DBA">
      <w:pPr>
        <w:keepNext/>
        <w:keepLines/>
        <w:spacing w:line="360" w:lineRule="auto"/>
        <w:rPr>
          <w:rFonts w:hint="eastAsia" w:ascii="仿宋" w:hAnsi="仿宋" w:eastAsia="仿宋" w:cs="仿宋"/>
          <w:b/>
          <w:sz w:val="24"/>
          <w:szCs w:val="24"/>
          <w:highlight w:val="none"/>
        </w:rPr>
      </w:pPr>
    </w:p>
    <w:p w14:paraId="62F25883">
      <w:pPr>
        <w:keepNext/>
        <w:keepLines/>
        <w:spacing w:line="360" w:lineRule="auto"/>
        <w:rPr>
          <w:rFonts w:hint="eastAsia" w:ascii="仿宋" w:hAnsi="仿宋" w:eastAsia="仿宋" w:cs="仿宋"/>
          <w:b/>
          <w:sz w:val="24"/>
          <w:szCs w:val="24"/>
          <w:highlight w:val="none"/>
        </w:rPr>
      </w:pPr>
    </w:p>
    <w:p w14:paraId="2E366524">
      <w:pPr>
        <w:keepNext/>
        <w:keepLines/>
        <w:spacing w:line="360" w:lineRule="auto"/>
        <w:rPr>
          <w:rFonts w:hint="eastAsia" w:ascii="仿宋" w:hAnsi="仿宋" w:eastAsia="仿宋" w:cs="仿宋"/>
          <w:b/>
          <w:sz w:val="24"/>
          <w:szCs w:val="24"/>
          <w:highlight w:val="none"/>
        </w:rPr>
      </w:pPr>
    </w:p>
    <w:p w14:paraId="712851A7">
      <w:pPr>
        <w:keepNext/>
        <w:keepLines/>
        <w:spacing w:line="360" w:lineRule="auto"/>
        <w:rPr>
          <w:rFonts w:hint="eastAsia" w:ascii="仿宋" w:hAnsi="仿宋" w:eastAsia="仿宋" w:cs="仿宋"/>
          <w:b/>
          <w:sz w:val="24"/>
          <w:szCs w:val="24"/>
          <w:highlight w:val="none"/>
        </w:rPr>
      </w:pPr>
    </w:p>
    <w:p w14:paraId="4F19B627">
      <w:pPr>
        <w:keepNext/>
        <w:keepLines/>
        <w:spacing w:line="360" w:lineRule="auto"/>
        <w:rPr>
          <w:rFonts w:hint="eastAsia" w:ascii="仿宋" w:hAnsi="仿宋" w:eastAsia="仿宋" w:cs="仿宋"/>
          <w:b/>
          <w:sz w:val="24"/>
          <w:szCs w:val="24"/>
          <w:highlight w:val="none"/>
        </w:rPr>
      </w:pPr>
    </w:p>
    <w:p w14:paraId="1BA6BC85">
      <w:pPr>
        <w:keepNext/>
        <w:keepLines/>
        <w:spacing w:line="360" w:lineRule="auto"/>
        <w:rPr>
          <w:rFonts w:hint="eastAsia" w:ascii="仿宋" w:hAnsi="仿宋" w:eastAsia="仿宋" w:cs="仿宋"/>
          <w:b/>
          <w:sz w:val="24"/>
          <w:szCs w:val="24"/>
          <w:highlight w:val="none"/>
        </w:rPr>
      </w:pPr>
    </w:p>
    <w:p w14:paraId="4E6024F6">
      <w:pPr>
        <w:rPr>
          <w:rFonts w:hint="eastAsia" w:ascii="仿宋" w:hAnsi="仿宋" w:eastAsia="仿宋" w:cs="仿宋"/>
          <w:b/>
          <w:bCs/>
          <w:color w:val="auto"/>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EC7A5E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1917A562">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109118F7">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27065DCB">
      <w:pPr>
        <w:spacing w:line="75" w:lineRule="exact"/>
        <w:rPr>
          <w:rFonts w:hint="eastAsia" w:ascii="仿宋" w:hAnsi="仿宋" w:eastAsia="仿宋" w:cs="仿宋"/>
          <w:highlight w:val="none"/>
        </w:rPr>
      </w:pPr>
    </w:p>
    <w:tbl>
      <w:tblPr>
        <w:tblStyle w:val="51"/>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7"/>
        <w:gridCol w:w="632"/>
        <w:gridCol w:w="949"/>
        <w:gridCol w:w="1299"/>
        <w:gridCol w:w="859"/>
        <w:gridCol w:w="1016"/>
        <w:gridCol w:w="1498"/>
        <w:gridCol w:w="1419"/>
      </w:tblGrid>
      <w:tr w14:paraId="2674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310" w:type="dxa"/>
            <w:gridSpan w:val="2"/>
            <w:noWrap w:val="0"/>
            <w:vAlign w:val="center"/>
          </w:tcPr>
          <w:p w14:paraId="6151E98D">
            <w:pPr>
              <w:pStyle w:val="50"/>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14:paraId="0DED1803">
            <w:pPr>
              <w:pStyle w:val="50"/>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14:paraId="615C28A1">
            <w:pPr>
              <w:pStyle w:val="50"/>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14:paraId="0349B7A3">
            <w:pPr>
              <w:pStyle w:val="50"/>
              <w:spacing w:line="240" w:lineRule="auto"/>
              <w:ind w:left="0" w:right="0" w:firstLine="0"/>
              <w:jc w:val="center"/>
              <w:rPr>
                <w:rFonts w:hint="eastAsia" w:ascii="仿宋" w:hAnsi="仿宋" w:eastAsia="仿宋" w:cs="仿宋"/>
                <w:spacing w:val="-4"/>
                <w:sz w:val="24"/>
                <w:szCs w:val="24"/>
                <w:highlight w:val="none"/>
                <w:lang w:val="en-US" w:eastAsia="zh-CN"/>
              </w:rPr>
            </w:pPr>
          </w:p>
        </w:tc>
      </w:tr>
      <w:tr w14:paraId="5A08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4906559">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A9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14:paraId="7BF3E595">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F3627EB">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14:paraId="789846BF">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14:paraId="1BDCF23E">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14:paraId="4DAE34A3">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5129903D">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14:paraId="68EE0208">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5B7A49BC">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5CD8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14:paraId="40CEE4D1">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1016E1AF">
            <w:pPr>
              <w:pStyle w:val="50"/>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14:paraId="621D541C">
            <w:pPr>
              <w:jc w:val="center"/>
              <w:rPr>
                <w:rFonts w:hint="eastAsia" w:ascii="仿宋" w:hAnsi="仿宋" w:eastAsia="仿宋" w:cs="仿宋"/>
                <w:sz w:val="24"/>
                <w:szCs w:val="24"/>
                <w:highlight w:val="none"/>
              </w:rPr>
            </w:pPr>
          </w:p>
        </w:tc>
        <w:tc>
          <w:tcPr>
            <w:tcW w:w="1873" w:type="dxa"/>
            <w:gridSpan w:val="2"/>
            <w:noWrap w:val="0"/>
            <w:vAlign w:val="center"/>
          </w:tcPr>
          <w:p w14:paraId="698D68D8">
            <w:pPr>
              <w:jc w:val="center"/>
              <w:rPr>
                <w:rFonts w:hint="eastAsia" w:ascii="仿宋" w:hAnsi="仿宋" w:eastAsia="仿宋" w:cs="仿宋"/>
                <w:sz w:val="24"/>
                <w:szCs w:val="24"/>
                <w:highlight w:val="none"/>
              </w:rPr>
            </w:pPr>
          </w:p>
        </w:tc>
        <w:tc>
          <w:tcPr>
            <w:tcW w:w="1497" w:type="dxa"/>
            <w:noWrap w:val="0"/>
            <w:vAlign w:val="center"/>
          </w:tcPr>
          <w:p w14:paraId="2629FC53">
            <w:pPr>
              <w:jc w:val="center"/>
              <w:rPr>
                <w:rFonts w:hint="eastAsia" w:ascii="仿宋" w:hAnsi="仿宋" w:eastAsia="仿宋" w:cs="仿宋"/>
                <w:sz w:val="24"/>
                <w:szCs w:val="24"/>
                <w:highlight w:val="none"/>
              </w:rPr>
            </w:pPr>
          </w:p>
        </w:tc>
        <w:tc>
          <w:tcPr>
            <w:tcW w:w="1418" w:type="dxa"/>
            <w:noWrap w:val="0"/>
            <w:vAlign w:val="center"/>
          </w:tcPr>
          <w:p w14:paraId="693A5689">
            <w:pPr>
              <w:jc w:val="center"/>
              <w:rPr>
                <w:rFonts w:hint="eastAsia" w:ascii="仿宋" w:hAnsi="仿宋" w:eastAsia="仿宋" w:cs="仿宋"/>
                <w:sz w:val="24"/>
                <w:szCs w:val="24"/>
                <w:highlight w:val="none"/>
              </w:rPr>
            </w:pPr>
          </w:p>
        </w:tc>
      </w:tr>
      <w:tr w14:paraId="3656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30CDCBFC">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37290B2">
            <w:pPr>
              <w:pStyle w:val="50"/>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14:paraId="407C612A">
            <w:pPr>
              <w:jc w:val="center"/>
              <w:rPr>
                <w:rFonts w:hint="eastAsia" w:ascii="仿宋" w:hAnsi="仿宋" w:eastAsia="仿宋" w:cs="仿宋"/>
                <w:sz w:val="24"/>
                <w:szCs w:val="24"/>
                <w:highlight w:val="none"/>
              </w:rPr>
            </w:pPr>
          </w:p>
        </w:tc>
        <w:tc>
          <w:tcPr>
            <w:tcW w:w="1873" w:type="dxa"/>
            <w:gridSpan w:val="2"/>
            <w:noWrap w:val="0"/>
            <w:vAlign w:val="center"/>
          </w:tcPr>
          <w:p w14:paraId="4C428D61">
            <w:pPr>
              <w:jc w:val="center"/>
              <w:rPr>
                <w:rFonts w:hint="eastAsia" w:ascii="仿宋" w:hAnsi="仿宋" w:eastAsia="仿宋" w:cs="仿宋"/>
                <w:sz w:val="24"/>
                <w:szCs w:val="24"/>
                <w:highlight w:val="none"/>
              </w:rPr>
            </w:pPr>
          </w:p>
        </w:tc>
        <w:tc>
          <w:tcPr>
            <w:tcW w:w="1497" w:type="dxa"/>
            <w:noWrap w:val="0"/>
            <w:vAlign w:val="center"/>
          </w:tcPr>
          <w:p w14:paraId="265A1224">
            <w:pPr>
              <w:jc w:val="center"/>
              <w:rPr>
                <w:rFonts w:hint="eastAsia" w:ascii="仿宋" w:hAnsi="仿宋" w:eastAsia="仿宋" w:cs="仿宋"/>
                <w:sz w:val="24"/>
                <w:szCs w:val="24"/>
                <w:highlight w:val="none"/>
              </w:rPr>
            </w:pPr>
          </w:p>
        </w:tc>
        <w:tc>
          <w:tcPr>
            <w:tcW w:w="1418" w:type="dxa"/>
            <w:noWrap w:val="0"/>
            <w:vAlign w:val="center"/>
          </w:tcPr>
          <w:p w14:paraId="0BCB701C">
            <w:pPr>
              <w:jc w:val="center"/>
              <w:rPr>
                <w:rFonts w:hint="eastAsia" w:ascii="仿宋" w:hAnsi="仿宋" w:eastAsia="仿宋" w:cs="仿宋"/>
                <w:sz w:val="24"/>
                <w:szCs w:val="24"/>
                <w:highlight w:val="none"/>
              </w:rPr>
            </w:pPr>
          </w:p>
        </w:tc>
      </w:tr>
      <w:tr w14:paraId="7881A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00A5B5E8">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14:paraId="784335B8">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14:paraId="3F5D7D82">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7552CD8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11423C17">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102A632">
            <w:pPr>
              <w:spacing w:line="240" w:lineRule="auto"/>
              <w:ind w:left="0"/>
              <w:jc w:val="center"/>
              <w:rPr>
                <w:rFonts w:hint="eastAsia" w:ascii="仿宋" w:hAnsi="仿宋" w:eastAsia="仿宋" w:cs="仿宋"/>
                <w:sz w:val="24"/>
                <w:szCs w:val="24"/>
                <w:highlight w:val="none"/>
              </w:rPr>
            </w:pPr>
          </w:p>
        </w:tc>
      </w:tr>
      <w:tr w14:paraId="7A3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7E43251">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14:paraId="63945406">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14:paraId="0E3416A5">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360D09A">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34795BE">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38DDA62E">
            <w:pPr>
              <w:spacing w:line="240" w:lineRule="auto"/>
              <w:ind w:left="0"/>
              <w:jc w:val="center"/>
              <w:rPr>
                <w:rFonts w:hint="eastAsia" w:ascii="仿宋" w:hAnsi="仿宋" w:eastAsia="仿宋" w:cs="仿宋"/>
                <w:sz w:val="24"/>
                <w:szCs w:val="24"/>
                <w:highlight w:val="none"/>
              </w:rPr>
            </w:pPr>
          </w:p>
        </w:tc>
      </w:tr>
      <w:tr w14:paraId="6B7F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7854E601">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14:paraId="49B0F137">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14:paraId="3F97D62D">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14:paraId="203B1A2B">
            <w:pPr>
              <w:spacing w:line="240" w:lineRule="auto"/>
              <w:ind w:left="0"/>
              <w:jc w:val="center"/>
              <w:rPr>
                <w:rFonts w:hint="eastAsia" w:ascii="仿宋" w:hAnsi="仿宋" w:eastAsia="仿宋" w:cs="仿宋"/>
                <w:sz w:val="24"/>
                <w:szCs w:val="24"/>
                <w:highlight w:val="none"/>
              </w:rPr>
            </w:pPr>
          </w:p>
        </w:tc>
        <w:tc>
          <w:tcPr>
            <w:tcW w:w="1497" w:type="dxa"/>
            <w:noWrap w:val="0"/>
            <w:vAlign w:val="center"/>
          </w:tcPr>
          <w:p w14:paraId="5AA86109">
            <w:pPr>
              <w:spacing w:line="240" w:lineRule="auto"/>
              <w:ind w:left="0"/>
              <w:jc w:val="center"/>
              <w:rPr>
                <w:rFonts w:hint="eastAsia" w:ascii="仿宋" w:hAnsi="仿宋" w:eastAsia="仿宋" w:cs="仿宋"/>
                <w:sz w:val="24"/>
                <w:szCs w:val="24"/>
                <w:highlight w:val="none"/>
              </w:rPr>
            </w:pPr>
          </w:p>
        </w:tc>
        <w:tc>
          <w:tcPr>
            <w:tcW w:w="1418" w:type="dxa"/>
            <w:noWrap w:val="0"/>
            <w:vAlign w:val="center"/>
          </w:tcPr>
          <w:p w14:paraId="290AE03B">
            <w:pPr>
              <w:spacing w:line="240" w:lineRule="auto"/>
              <w:ind w:left="0"/>
              <w:jc w:val="center"/>
              <w:rPr>
                <w:rFonts w:hint="eastAsia" w:ascii="仿宋" w:hAnsi="仿宋" w:eastAsia="仿宋" w:cs="仿宋"/>
                <w:sz w:val="24"/>
                <w:szCs w:val="24"/>
                <w:highlight w:val="none"/>
                <w:lang w:eastAsia="zh-CN"/>
              </w:rPr>
            </w:pPr>
          </w:p>
        </w:tc>
      </w:tr>
      <w:tr w14:paraId="6F512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44" w:type="dxa"/>
            <w:gridSpan w:val="8"/>
            <w:noWrap w:val="0"/>
            <w:vAlign w:val="center"/>
          </w:tcPr>
          <w:p w14:paraId="62986FA2">
            <w:pPr>
              <w:pStyle w:val="50"/>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2683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14:paraId="19F6F481">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24A5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14:paraId="4F022C47">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14:paraId="19917E73">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14:paraId="4DF799B8">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14:paraId="1AB03EE8">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38BA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14:paraId="56E1E48C">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14:paraId="2383DAF3">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14:paraId="546C4CA3">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685B62E1">
            <w:pPr>
              <w:pStyle w:val="50"/>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7EFE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14:paraId="46CF70CC">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14:paraId="204E27E1">
            <w:pPr>
              <w:pStyle w:val="50"/>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14:paraId="67010658">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14:paraId="7DABD43E">
            <w:pPr>
              <w:pStyle w:val="50"/>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1FFFA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14:paraId="0CF5ED46">
            <w:pPr>
              <w:pStyle w:val="50"/>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2C06F341">
      <w:pPr>
        <w:pStyle w:val="17"/>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14:paraId="2A1BBB92">
      <w:pPr>
        <w:pStyle w:val="17"/>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516E3967">
      <w:pPr>
        <w:pStyle w:val="17"/>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w:t>
      </w:r>
    </w:p>
    <w:p w14:paraId="5771745B">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14:paraId="4C5D40DD">
      <w:pPr>
        <w:pStyle w:val="17"/>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69947460">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1E02249F">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4B459F7">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14:paraId="043EC5C0">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8E0F7C7">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754F00C9">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32892700">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14:paraId="2DA45508">
      <w:pPr>
        <w:pStyle w:val="17"/>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48EA5532">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21D6EEC7">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6F97DD91">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14:paraId="1202F143">
      <w:pPr>
        <w:pStyle w:val="17"/>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540BC36B">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4F80F18C">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14:paraId="493EE5EA">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14:paraId="3699A83C">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14:paraId="7770C44F">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14:paraId="09CFFACC">
      <w:pPr>
        <w:pStyle w:val="17"/>
        <w:rPr>
          <w:rFonts w:hint="eastAsia" w:ascii="仿宋" w:hAnsi="仿宋" w:eastAsia="仿宋" w:cs="仿宋"/>
          <w:b/>
          <w:bCs/>
          <w:color w:val="auto"/>
          <w:sz w:val="24"/>
          <w:szCs w:val="24"/>
          <w:highlight w:val="none"/>
        </w:rPr>
      </w:pPr>
    </w:p>
    <w:p w14:paraId="78C455A4">
      <w:pPr>
        <w:pStyle w:val="1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6、企业股权关系证明材料（投标人根据自身情况提供证明材料）</w:t>
      </w:r>
    </w:p>
    <w:p w14:paraId="5FA158CC">
      <w:pPr>
        <w:pStyle w:val="10"/>
        <w:adjustRightInd w:val="0"/>
        <w:snapToGrid w:val="0"/>
        <w:spacing w:line="360" w:lineRule="auto"/>
        <w:rPr>
          <w:rFonts w:hint="eastAsia" w:hAnsi="宋体" w:cs="宋体"/>
          <w:szCs w:val="21"/>
        </w:rPr>
      </w:pPr>
    </w:p>
    <w:p w14:paraId="1583E9BE">
      <w:pPr>
        <w:pStyle w:val="10"/>
        <w:adjustRightInd w:val="0"/>
        <w:snapToGrid w:val="0"/>
        <w:spacing w:line="360" w:lineRule="auto"/>
        <w:rPr>
          <w:rFonts w:hint="eastAsia" w:hAnsi="宋体" w:cs="宋体"/>
          <w:szCs w:val="21"/>
        </w:rPr>
      </w:pPr>
    </w:p>
    <w:p w14:paraId="2A1E1E9B">
      <w:pPr>
        <w:pStyle w:val="10"/>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7384213F">
      <w:pPr>
        <w:wordWrap w:val="0"/>
        <w:adjustRightInd w:val="0"/>
        <w:snapToGrid w:val="0"/>
        <w:spacing w:line="360" w:lineRule="auto"/>
        <w:ind w:firstLine="4200" w:firstLineChars="2000"/>
        <w:rPr>
          <w:rFonts w:hint="eastAsia" w:ascii="宋体" w:hAnsi="宋体" w:cs="宋体"/>
          <w:szCs w:val="21"/>
        </w:rPr>
      </w:pPr>
    </w:p>
    <w:p w14:paraId="0829220A">
      <w:pPr>
        <w:wordWrap w:val="0"/>
        <w:adjustRightInd w:val="0"/>
        <w:snapToGrid w:val="0"/>
        <w:spacing w:line="360" w:lineRule="auto"/>
        <w:ind w:firstLine="4200" w:firstLineChars="2000"/>
        <w:rPr>
          <w:rFonts w:hint="eastAsia" w:ascii="宋体" w:hAnsi="宋体" w:cs="宋体"/>
          <w:szCs w:val="21"/>
        </w:rPr>
      </w:pPr>
    </w:p>
    <w:p w14:paraId="3B2853D0">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14:paraId="2ADF5D3A">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0D8210DB">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14:paraId="7693693B">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F1A5925">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CB0B4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14:paraId="561F756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8718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14:paraId="0ED618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14:paraId="2E7CF08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14:paraId="214EDA7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14:paraId="0F5816C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14:paraId="3579FF1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14:paraId="039BD13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14:paraId="608299E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14:paraId="15DDECF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14:paraId="4114F90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14:paraId="059F20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14:paraId="48B7A2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14:paraId="1886CB9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052AF17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97F2C8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2BCA7A6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6877A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5AA85031">
      <w:pPr>
        <w:pStyle w:val="8"/>
        <w:rPr>
          <w:rFonts w:hint="eastAsia"/>
          <w:highlight w:val="none"/>
          <w:lang w:val="en-US" w:eastAsia="zh-CN"/>
        </w:rPr>
      </w:pPr>
    </w:p>
    <w:p w14:paraId="6A6EF35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14:paraId="0E1EE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14:paraId="0AF1FC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E676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CB684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2193DB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5BAA1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3F591F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ACFB9A7">
      <w:pPr>
        <w:rPr>
          <w:rFonts w:hint="eastAsia" w:ascii="仿宋" w:hAnsi="仿宋" w:eastAsia="仿宋" w:cs="仿宋"/>
          <w:sz w:val="24"/>
          <w:szCs w:val="24"/>
          <w:highlight w:val="none"/>
        </w:rPr>
      </w:pPr>
    </w:p>
    <w:p w14:paraId="684F122E">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103714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6A175F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958AA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2022D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664E4C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139A9FD">
      <w:pPr>
        <w:ind w:firstLine="480" w:firstLineChars="200"/>
        <w:rPr>
          <w:rFonts w:ascii="宋体" w:hAnsi="宋体" w:cs="宋体"/>
          <w:sz w:val="24"/>
          <w:highlight w:val="none"/>
        </w:rPr>
      </w:pPr>
    </w:p>
    <w:p w14:paraId="1F9B00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67235B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3DD13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0B07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344E7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A1A1F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1471C7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767140DE">
      <w:pPr>
        <w:widowControl w:val="0"/>
        <w:jc w:val="both"/>
        <w:rPr>
          <w:rFonts w:hint="eastAsia" w:ascii="仿宋" w:hAnsi="仿宋" w:eastAsia="仿宋" w:cs="仿宋"/>
          <w:b/>
          <w:bCs/>
          <w:sz w:val="24"/>
          <w:szCs w:val="24"/>
          <w:highlight w:val="none"/>
        </w:rPr>
      </w:pPr>
    </w:p>
    <w:p w14:paraId="131D8725">
      <w:pPr>
        <w:widowControl w:val="0"/>
        <w:jc w:val="both"/>
        <w:rPr>
          <w:rFonts w:hint="eastAsia" w:ascii="仿宋" w:hAnsi="仿宋" w:eastAsia="仿宋" w:cs="仿宋"/>
          <w:color w:val="FF0000"/>
          <w:kern w:val="2"/>
          <w:sz w:val="24"/>
          <w:szCs w:val="24"/>
          <w:highlight w:val="none"/>
        </w:rPr>
      </w:pPr>
    </w:p>
    <w:p w14:paraId="7208C37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E147FA1">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393"/>
        <w:gridCol w:w="25"/>
      </w:tblGrid>
      <w:tr w14:paraId="73D8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7BDDF70">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2664" w:type="dxa"/>
            <w:vAlign w:val="center"/>
          </w:tcPr>
          <w:p w14:paraId="0DC8122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588" w:type="dxa"/>
            <w:vAlign w:val="center"/>
          </w:tcPr>
          <w:p w14:paraId="3AE89D3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842" w:type="dxa"/>
            <w:vAlign w:val="center"/>
          </w:tcPr>
          <w:p w14:paraId="1AE09D76">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418" w:type="dxa"/>
            <w:gridSpan w:val="2"/>
            <w:vAlign w:val="center"/>
          </w:tcPr>
          <w:p w14:paraId="252CE80B">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14:paraId="470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33EA67C5">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4" w:type="dxa"/>
            <w:vAlign w:val="top"/>
          </w:tcPr>
          <w:p w14:paraId="10B6F384">
            <w:pPr>
              <w:keepNext w:val="0"/>
              <w:keepLines w:val="0"/>
              <w:suppressLineNumbers w:val="0"/>
              <w:spacing w:before="0" w:beforeAutospacing="0" w:after="0" w:afterAutospacing="0"/>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p w14:paraId="7E521789">
            <w:pPr>
              <w:keepNext w:val="0"/>
              <w:keepLines w:val="0"/>
              <w:suppressLineNumbers w:val="0"/>
              <w:spacing w:before="0" w:beforeAutospacing="0" w:after="0" w:afterAutospacing="0"/>
              <w:ind w:left="0" w:leftChars="0" w:right="0" w:rightChars="0"/>
              <w:rPr>
                <w:rFonts w:hint="default" w:hAnsi="宋体"/>
                <w:kern w:val="0"/>
                <w:sz w:val="24"/>
                <w:szCs w:val="24"/>
                <w:highlight w:val="none"/>
              </w:rPr>
            </w:pPr>
            <w:r>
              <w:rPr>
                <w:rFonts w:hint="eastAsia" w:ascii="仿宋" w:hAnsi="仿宋" w:eastAsia="仿宋" w:cs="仿宋"/>
                <w:color w:val="000000"/>
                <w:kern w:val="0"/>
                <w:sz w:val="24"/>
                <w:szCs w:val="24"/>
                <w:highlight w:val="none"/>
              </w:rPr>
              <w:t>自本合同签</w:t>
            </w:r>
            <w:r>
              <w:rPr>
                <w:rFonts w:hint="eastAsia" w:ascii="仿宋" w:hAnsi="仿宋" w:eastAsia="仿宋" w:cs="仿宋"/>
                <w:color w:val="000000"/>
                <w:kern w:val="0"/>
                <w:sz w:val="24"/>
                <w:szCs w:val="24"/>
                <w:highlight w:val="none"/>
                <w:lang w:val="en-US" w:eastAsia="zh-CN"/>
              </w:rPr>
              <w:t>订之日起至“深圳市龙岗中心医院</w:t>
            </w:r>
            <w:r>
              <w:rPr>
                <w:rFonts w:hint="eastAsia" w:ascii="仿宋" w:hAnsi="仿宋" w:eastAsia="仿宋" w:cs="仿宋"/>
                <w:color w:val="000000"/>
                <w:kern w:val="0"/>
                <w:sz w:val="24"/>
                <w:szCs w:val="24"/>
                <w:highlight w:val="none"/>
                <w:lang w:eastAsia="zh-CN"/>
              </w:rPr>
              <w:t>外科综合楼开办家具监理服务</w:t>
            </w:r>
            <w:r>
              <w:rPr>
                <w:rFonts w:hint="eastAsia" w:ascii="仿宋" w:hAnsi="仿宋" w:eastAsia="仿宋" w:cs="仿宋"/>
                <w:color w:val="000000"/>
                <w:kern w:val="0"/>
                <w:sz w:val="24"/>
                <w:szCs w:val="24"/>
                <w:highlight w:val="none"/>
                <w:lang w:val="en-US" w:eastAsia="zh-CN"/>
              </w:rPr>
              <w:t>项目</w:t>
            </w:r>
            <w:r>
              <w:rPr>
                <w:rFonts w:hint="eastAsia" w:ascii="仿宋" w:hAnsi="仿宋" w:eastAsia="仿宋" w:cs="仿宋"/>
                <w:color w:val="000000"/>
                <w:kern w:val="0"/>
                <w:sz w:val="24"/>
                <w:szCs w:val="24"/>
                <w:highlight w:val="none"/>
                <w:lang w:bidi="ar"/>
              </w:rPr>
              <w:t>”实施并验收合格为止。</w:t>
            </w:r>
          </w:p>
        </w:tc>
        <w:tc>
          <w:tcPr>
            <w:tcW w:w="1588" w:type="dxa"/>
          </w:tcPr>
          <w:p w14:paraId="6EA25499">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842" w:type="dxa"/>
          </w:tcPr>
          <w:p w14:paraId="05C6A273">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93" w:type="dxa"/>
          </w:tcPr>
          <w:p w14:paraId="1628921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14:paraId="0BCE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4B814CA4">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664" w:type="dxa"/>
            <w:vAlign w:val="top"/>
          </w:tcPr>
          <w:p w14:paraId="7C992AB5">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★人员类别</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★人员数量</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★人员必须具备条件</w:t>
            </w:r>
          </w:p>
          <w:p w14:paraId="60F4F2DD">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1人</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投标人自有员工</w:t>
            </w:r>
          </w:p>
          <w:p w14:paraId="458D3B03">
            <w:pPr>
              <w:keepNext w:val="0"/>
              <w:keepLines w:val="0"/>
              <w:suppressLineNumbers w:val="0"/>
              <w:spacing w:before="0" w:beforeAutospacing="0" w:after="0" w:afterAutospacing="0"/>
              <w:ind w:left="0" w:leftChars="0" w:right="0" w:rightChars="0"/>
              <w:rPr>
                <w:rFonts w:hint="default" w:hAnsi="宋体"/>
                <w:kern w:val="0"/>
                <w:sz w:val="24"/>
                <w:szCs w:val="24"/>
                <w:highlight w:val="none"/>
              </w:rPr>
            </w:pPr>
            <w:r>
              <w:rPr>
                <w:rFonts w:hint="eastAsia" w:ascii="仿宋" w:hAnsi="仿宋" w:eastAsia="仿宋" w:cs="仿宋"/>
                <w:sz w:val="24"/>
                <w:szCs w:val="24"/>
                <w:highlight w:val="none"/>
              </w:rPr>
              <w:t>项目团队成员（至少包含技术人员1人、项目管理人员1人、质量服务人员1人、抽样人员2人）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5人或以上</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投标人自有员工</w:t>
            </w:r>
          </w:p>
        </w:tc>
        <w:tc>
          <w:tcPr>
            <w:tcW w:w="1588" w:type="dxa"/>
          </w:tcPr>
          <w:p w14:paraId="402C4271">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842" w:type="dxa"/>
          </w:tcPr>
          <w:p w14:paraId="6B1CAD3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93" w:type="dxa"/>
          </w:tcPr>
          <w:p w14:paraId="11BAD9B7">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14:paraId="41688654">
      <w:pPr>
        <w:numPr>
          <w:ilvl w:val="0"/>
          <w:numId w:val="0"/>
        </w:numPr>
        <w:ind w:leftChars="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751724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6022D4F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3F42779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198A51F8">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D410D71">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59F9CD09">
      <w:pPr>
        <w:numPr>
          <w:ilvl w:val="0"/>
          <w:numId w:val="0"/>
        </w:numPr>
        <w:ind w:leftChars="0"/>
        <w:jc w:val="both"/>
        <w:rPr>
          <w:rFonts w:hint="eastAsia" w:ascii="仿宋" w:hAnsi="仿宋" w:eastAsia="仿宋" w:cs="仿宋"/>
          <w:b/>
          <w:sz w:val="24"/>
          <w:highlight w:val="none"/>
          <w:lang w:val="en-US" w:eastAsia="zh-CN"/>
        </w:rPr>
      </w:pPr>
    </w:p>
    <w:p w14:paraId="49E06553">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576ECBB4">
      <w:pPr>
        <w:keepNext w:val="0"/>
        <w:keepLines w:val="0"/>
        <w:pageBreakBefore w:val="0"/>
        <w:widowControl w:val="0"/>
        <w:kinsoku/>
        <w:wordWrap w:val="0"/>
        <w:overflowPunct/>
        <w:topLinePunct w:val="0"/>
        <w:autoSpaceDE/>
        <w:autoSpaceDN/>
        <w:bidi w:val="0"/>
        <w:adjustRightInd/>
        <w:snapToGrid/>
        <w:spacing w:before="313" w:beforeLines="100" w:after="156" w:afterLines="50" w:line="360" w:lineRule="auto"/>
        <w:jc w:val="center"/>
        <w:textAlignment w:val="auto"/>
        <w:rPr>
          <w:rFonts w:ascii="楷体" w:hAnsi="楷体" w:eastAsia="楷体" w:cs="Arial"/>
          <w:b/>
          <w:sz w:val="32"/>
          <w:szCs w:val="30"/>
        </w:rPr>
      </w:pPr>
      <w:r>
        <w:rPr>
          <w:rFonts w:ascii="楷体" w:hAnsi="楷体" w:eastAsia="楷体" w:cs="Arial"/>
          <w:b/>
          <w:sz w:val="32"/>
          <w:szCs w:val="30"/>
        </w:rPr>
        <w:t>家具</w:t>
      </w:r>
      <w:r>
        <w:rPr>
          <w:rFonts w:hint="eastAsia" w:ascii="楷体" w:hAnsi="楷体" w:eastAsia="楷体" w:cs="Arial"/>
          <w:b/>
          <w:sz w:val="32"/>
          <w:szCs w:val="30"/>
          <w:lang w:val="en-US" w:eastAsia="zh-CN"/>
        </w:rPr>
        <w:t>质量</w:t>
      </w:r>
      <w:r>
        <w:rPr>
          <w:rFonts w:hint="eastAsia" w:ascii="楷体" w:hAnsi="楷体" w:eastAsia="楷体" w:cs="Arial"/>
          <w:b/>
          <w:sz w:val="32"/>
          <w:szCs w:val="30"/>
        </w:rPr>
        <w:t>监理服务合同</w:t>
      </w:r>
    </w:p>
    <w:p w14:paraId="5F16769E">
      <w:pPr>
        <w:wordWrap w:val="0"/>
        <w:spacing w:before="156" w:beforeLines="50" w:after="156" w:afterLines="50" w:line="360" w:lineRule="auto"/>
        <w:jc w:val="center"/>
        <w:rPr>
          <w:rFonts w:ascii="楷体" w:hAnsi="楷体" w:eastAsia="楷体" w:cs="Arial"/>
          <w:color w:val="FF0000"/>
          <w:szCs w:val="21"/>
          <w:u w:val="single"/>
        </w:rPr>
      </w:pPr>
      <w:r>
        <w:rPr>
          <w:rFonts w:ascii="楷体" w:hAnsi="楷体" w:eastAsia="楷体" w:cs="Arial"/>
          <w:szCs w:val="21"/>
          <w:u w:val="single"/>
        </w:rPr>
        <w:t xml:space="preserve">                                  合同编号:</w:t>
      </w:r>
    </w:p>
    <w:p w14:paraId="4645D5E2">
      <w:pPr>
        <w:tabs>
          <w:tab w:val="left" w:pos="2938"/>
        </w:tabs>
        <w:wordWrap w:val="0"/>
        <w:spacing w:before="156" w:beforeLines="50" w:after="156" w:afterLines="50" w:line="360" w:lineRule="auto"/>
        <w:rPr>
          <w:rFonts w:hint="eastAsia" w:ascii="楷体" w:hAnsi="楷体" w:eastAsia="楷体" w:cs="Arial"/>
          <w:b/>
          <w:color w:val="auto"/>
          <w:sz w:val="24"/>
        </w:rPr>
      </w:pPr>
      <w:r>
        <w:rPr>
          <w:rFonts w:ascii="楷体" w:hAnsi="楷体" w:eastAsia="楷体" w:cs="Arial"/>
          <w:b/>
          <w:color w:val="auto"/>
          <w:sz w:val="24"/>
        </w:rPr>
        <w:t>一、双方基本信息：</w:t>
      </w:r>
      <w:r>
        <w:rPr>
          <w:rFonts w:hint="eastAsia" w:ascii="楷体" w:hAnsi="楷体" w:eastAsia="楷体" w:cs="Arial"/>
          <w:b/>
          <w:color w:val="auto"/>
          <w:sz w:val="24"/>
        </w:rPr>
        <w:tab/>
      </w:r>
    </w:p>
    <w:p w14:paraId="44FB9FD4">
      <w:pPr>
        <w:wordWrap w:val="0"/>
        <w:spacing w:before="156" w:beforeLines="50" w:after="156" w:afterLines="50" w:line="360" w:lineRule="auto"/>
        <w:rPr>
          <w:rFonts w:hint="default" w:ascii="楷体" w:hAnsi="楷体" w:eastAsia="楷体" w:cs="Arial"/>
          <w:color w:val="auto"/>
          <w:sz w:val="24"/>
          <w:lang w:val="en-US" w:eastAsia="zh-CN"/>
        </w:rPr>
      </w:pPr>
      <w:r>
        <w:rPr>
          <w:rFonts w:ascii="楷体" w:hAnsi="楷体" w:eastAsia="楷体" w:cs="Arial"/>
          <w:color w:val="auto"/>
          <w:sz w:val="24"/>
        </w:rPr>
        <w:t>甲方：</w:t>
      </w:r>
      <w:r>
        <w:rPr>
          <w:rFonts w:hint="eastAsia" w:ascii="楷体" w:hAnsi="楷体" w:eastAsia="楷体" w:cs="Arial"/>
          <w:color w:val="auto"/>
          <w:sz w:val="24"/>
          <w:lang w:val="en-US" w:eastAsia="zh-CN"/>
        </w:rPr>
        <w:t>深圳市龙岗中心医院</w:t>
      </w:r>
    </w:p>
    <w:p w14:paraId="2BA35450">
      <w:pPr>
        <w:wordWrap w:val="0"/>
        <w:spacing w:before="156" w:beforeLines="50" w:after="156" w:afterLines="50" w:line="360" w:lineRule="auto"/>
        <w:rPr>
          <w:rFonts w:ascii="楷体" w:hAnsi="楷体" w:eastAsia="楷体" w:cs="Arial"/>
          <w:color w:val="auto"/>
          <w:sz w:val="24"/>
        </w:rPr>
      </w:pPr>
      <w:r>
        <w:rPr>
          <w:rFonts w:ascii="楷体" w:hAnsi="楷体" w:eastAsia="楷体" w:cs="Arial"/>
          <w:color w:val="auto"/>
          <w:sz w:val="24"/>
        </w:rPr>
        <w:t>地 址：</w:t>
      </w:r>
      <w:r>
        <w:rPr>
          <w:rFonts w:hint="eastAsia" w:ascii="楷体" w:hAnsi="楷体" w:eastAsia="楷体" w:cs="Arial"/>
          <w:color w:val="auto"/>
          <w:sz w:val="24"/>
          <w:lang w:val="en-US" w:eastAsia="zh-CN"/>
        </w:rPr>
        <w:t>深圳市龙岗区龙岗大道（龙岗段）6082号</w:t>
      </w:r>
    </w:p>
    <w:p w14:paraId="2F15426E">
      <w:pPr>
        <w:wordWrap w:val="0"/>
        <w:spacing w:before="156" w:beforeLines="50" w:after="156" w:afterLines="50" w:line="360" w:lineRule="auto"/>
        <w:rPr>
          <w:rFonts w:hint="eastAsia" w:ascii="楷体" w:hAnsi="楷体" w:eastAsia="楷体" w:cs="Arial"/>
          <w:color w:val="auto"/>
          <w:sz w:val="24"/>
        </w:rPr>
      </w:pPr>
      <w:r>
        <w:rPr>
          <w:rFonts w:ascii="楷体" w:hAnsi="楷体" w:eastAsia="楷体" w:cs="Arial"/>
          <w:color w:val="auto"/>
          <w:sz w:val="24"/>
        </w:rPr>
        <w:t>乙方</w:t>
      </w:r>
      <w:r>
        <w:rPr>
          <w:rFonts w:hint="eastAsia" w:ascii="楷体" w:hAnsi="楷体" w:eastAsia="楷体" w:cs="Arial"/>
          <w:color w:val="auto"/>
          <w:sz w:val="24"/>
        </w:rPr>
        <w:t>：</w:t>
      </w:r>
    </w:p>
    <w:p w14:paraId="7DC54ECF">
      <w:pPr>
        <w:wordWrap w:val="0"/>
        <w:spacing w:before="156" w:beforeLines="50" w:after="156" w:afterLines="50" w:line="360" w:lineRule="auto"/>
        <w:rPr>
          <w:rFonts w:ascii="楷体" w:hAnsi="楷体" w:eastAsia="楷体" w:cs="Arial"/>
          <w:b/>
          <w:color w:val="auto"/>
          <w:sz w:val="24"/>
        </w:rPr>
      </w:pPr>
      <w:r>
        <w:rPr>
          <w:rFonts w:hint="eastAsia" w:ascii="楷体" w:hAnsi="楷体" w:eastAsia="楷体" w:cs="Arial"/>
          <w:color w:val="auto"/>
          <w:sz w:val="24"/>
        </w:rPr>
        <w:t>联系地址</w:t>
      </w:r>
      <w:r>
        <w:rPr>
          <w:rFonts w:ascii="楷体" w:hAnsi="楷体" w:eastAsia="楷体" w:cs="Arial"/>
          <w:color w:val="auto"/>
          <w:sz w:val="24"/>
        </w:rPr>
        <w:t>：</w:t>
      </w:r>
      <w:r>
        <w:rPr>
          <w:rFonts w:hint="eastAsia" w:ascii="楷体" w:hAnsi="楷体" w:eastAsia="楷体" w:cs="Arial"/>
          <w:color w:val="auto"/>
          <w:sz w:val="24"/>
          <w:lang w:val="en-US" w:eastAsia="zh-CN"/>
        </w:rPr>
        <w:t xml:space="preserve"> </w:t>
      </w:r>
    </w:p>
    <w:p w14:paraId="6AEF4A3B">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依照《中华人民共和国</w:t>
      </w:r>
      <w:r>
        <w:rPr>
          <w:rFonts w:hint="eastAsia" w:ascii="楷体" w:hAnsi="楷体" w:eastAsia="楷体" w:cs="Arial"/>
          <w:color w:val="auto"/>
          <w:sz w:val="24"/>
        </w:rPr>
        <w:t>民法典</w:t>
      </w:r>
      <w:r>
        <w:rPr>
          <w:rFonts w:ascii="楷体" w:hAnsi="楷体" w:eastAsia="楷体" w:cs="Arial"/>
          <w:color w:val="auto"/>
          <w:sz w:val="24"/>
        </w:rPr>
        <w:t>》及其有关法律、法规、规章，就</w:t>
      </w:r>
      <w:r>
        <w:rPr>
          <w:rFonts w:hint="eastAsia" w:ascii="楷体" w:hAnsi="楷体" w:eastAsia="楷体" w:cs="Arial"/>
          <w:color w:val="auto"/>
          <w:sz w:val="24"/>
          <w:u w:val="single"/>
          <w:lang w:val="en-US" w:eastAsia="zh-CN"/>
        </w:rPr>
        <w:t>深圳市龙岗中心医院外科综合楼开办家具</w:t>
      </w:r>
      <w:r>
        <w:rPr>
          <w:rFonts w:ascii="楷体" w:hAnsi="楷体" w:eastAsia="楷体" w:cs="Arial"/>
          <w:color w:val="auto"/>
          <w:sz w:val="24"/>
        </w:rPr>
        <w:t>采购监理服务事宜，双方遵循平等、自愿、公平和诚实信用的原则，协商一致，订立本合同。</w:t>
      </w:r>
    </w:p>
    <w:p w14:paraId="24841E7B">
      <w:pPr>
        <w:wordWrap w:val="0"/>
        <w:spacing w:before="156" w:beforeLines="50" w:after="156" w:afterLines="50" w:line="360" w:lineRule="auto"/>
        <w:rPr>
          <w:rFonts w:ascii="楷体" w:hAnsi="楷体" w:eastAsia="楷体" w:cs="Arial"/>
          <w:b/>
          <w:color w:val="auto"/>
          <w:sz w:val="24"/>
        </w:rPr>
      </w:pPr>
      <w:r>
        <w:rPr>
          <w:rFonts w:ascii="楷体" w:hAnsi="楷体" w:eastAsia="楷体" w:cs="Arial"/>
          <w:b/>
          <w:color w:val="auto"/>
          <w:sz w:val="24"/>
        </w:rPr>
        <w:t>二、合同内容</w:t>
      </w:r>
    </w:p>
    <w:p w14:paraId="749E5D4C">
      <w:pPr>
        <w:wordWrap w:val="0"/>
        <w:spacing w:before="156" w:beforeLines="50" w:after="156" w:afterLines="50" w:line="360" w:lineRule="auto"/>
        <w:rPr>
          <w:rFonts w:ascii="楷体" w:hAnsi="楷体" w:eastAsia="楷体" w:cs="Arial"/>
          <w:color w:val="auto"/>
          <w:sz w:val="24"/>
        </w:rPr>
      </w:pPr>
      <w:r>
        <w:rPr>
          <w:rFonts w:ascii="楷体" w:hAnsi="楷体" w:eastAsia="楷体" w:cs="Arial"/>
          <w:color w:val="auto"/>
          <w:sz w:val="24"/>
        </w:rPr>
        <w:t xml:space="preserve">    本次家具采购监理服务对象，为</w:t>
      </w:r>
      <w:r>
        <w:rPr>
          <w:rFonts w:hint="eastAsia" w:ascii="楷体" w:hAnsi="楷体" w:eastAsia="楷体" w:cs="Arial"/>
          <w:color w:val="auto"/>
          <w:sz w:val="24"/>
          <w:u w:val="single"/>
          <w:lang w:val="en-US" w:eastAsia="zh-CN"/>
        </w:rPr>
        <w:t>深圳市龙岗中心医院外科综合楼</w:t>
      </w:r>
      <w:r>
        <w:rPr>
          <w:rFonts w:ascii="楷体" w:hAnsi="楷体" w:eastAsia="楷体" w:cs="Arial"/>
          <w:color w:val="auto"/>
          <w:sz w:val="24"/>
          <w:u w:val="single"/>
        </w:rPr>
        <w:t>开办费批复项下的</w:t>
      </w:r>
      <w:r>
        <w:rPr>
          <w:rFonts w:ascii="楷体" w:hAnsi="楷体" w:eastAsia="楷体" w:cs="Arial"/>
          <w:color w:val="auto"/>
          <w:sz w:val="24"/>
        </w:rPr>
        <w:t>家具采购项目，乙方按</w:t>
      </w:r>
      <w:r>
        <w:rPr>
          <w:rFonts w:hint="eastAsia" w:ascii="楷体" w:hAnsi="楷体" w:eastAsia="楷体" w:cs="Arial"/>
          <w:color w:val="auto"/>
          <w:sz w:val="24"/>
        </w:rPr>
        <w:t>招标文件要求</w:t>
      </w:r>
      <w:r>
        <w:rPr>
          <w:rFonts w:ascii="楷体" w:hAnsi="楷体" w:eastAsia="楷体" w:cs="Arial"/>
          <w:color w:val="auto"/>
          <w:sz w:val="24"/>
        </w:rPr>
        <w:t>向甲方提供服务内容为：</w:t>
      </w:r>
    </w:p>
    <w:p w14:paraId="0B229CCE">
      <w:pPr>
        <w:numPr>
          <w:ilvl w:val="0"/>
          <w:numId w:val="9"/>
        </w:numPr>
        <w:wordWrap w:val="0"/>
        <w:spacing w:before="156" w:beforeLines="50" w:after="156" w:afterLines="50" w:line="360" w:lineRule="auto"/>
        <w:ind w:firstLine="482" w:firstLineChars="200"/>
        <w:rPr>
          <w:rFonts w:hint="eastAsia" w:ascii="楷体" w:hAnsi="楷体" w:eastAsia="楷体" w:cs="Arial"/>
          <w:color w:val="auto"/>
          <w:sz w:val="24"/>
          <w:lang w:val="en-US" w:eastAsia="zh-CN"/>
        </w:rPr>
      </w:pPr>
      <w:r>
        <w:rPr>
          <w:rFonts w:hint="eastAsia" w:ascii="楷体" w:hAnsi="楷体" w:eastAsia="楷体" w:cs="Arial"/>
          <w:b/>
          <w:bCs/>
          <w:color w:val="auto"/>
          <w:sz w:val="24"/>
          <w:lang w:val="en-US" w:eastAsia="zh-CN"/>
        </w:rPr>
        <w:t>生产制造阶段：</w:t>
      </w:r>
      <w:r>
        <w:rPr>
          <w:rFonts w:hint="eastAsia" w:ascii="楷体" w:hAnsi="楷体" w:eastAsia="楷体" w:cs="Arial"/>
          <w:color w:val="auto"/>
          <w:sz w:val="24"/>
          <w:lang w:val="en-US" w:eastAsia="zh-CN"/>
        </w:rPr>
        <w:t>依据院方要求、招标文件、家具生产采购合同，对生产制造商生产及交付过程全流程监督，对不合格原材料及成品督促生产制造商进行整改，以达到招标及合同要求。</w:t>
      </w:r>
    </w:p>
    <w:p w14:paraId="11FE8DF9">
      <w:pPr>
        <w:numPr>
          <w:ilvl w:val="0"/>
          <w:numId w:val="0"/>
        </w:numPr>
        <w:wordWrap w:val="0"/>
        <w:spacing w:before="156" w:beforeLines="50" w:after="156" w:afterLines="50" w:line="360" w:lineRule="auto"/>
        <w:ind w:firstLine="480" w:firstLineChars="200"/>
        <w:rPr>
          <w:rFonts w:hint="default" w:ascii="楷体" w:hAnsi="楷体" w:eastAsia="楷体" w:cs="Arial"/>
          <w:color w:val="auto"/>
          <w:sz w:val="24"/>
          <w:lang w:val="en-US"/>
        </w:rPr>
      </w:pPr>
      <w:r>
        <w:rPr>
          <w:rFonts w:hint="eastAsia" w:ascii="楷体" w:hAnsi="楷体" w:eastAsia="楷体" w:cs="Arial"/>
          <w:color w:val="auto"/>
          <w:sz w:val="24"/>
          <w:lang w:val="en-US" w:eastAsia="zh-CN"/>
        </w:rPr>
        <w:t>输出文件：《抽样检测计划及检测方案》（《原材料抽样检测方案》、《半成品抽样检测方案》、《成品抽样检测方案》）、《原材料检测报告》、《监理日志报告》、《生产工艺检测报告》、具有CMA、CNAS标识的产品质量《检验报告》、《不合格整改报告》（如有）。</w:t>
      </w:r>
    </w:p>
    <w:p w14:paraId="2C90196F">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2.</w:t>
      </w:r>
      <w:r>
        <w:rPr>
          <w:rFonts w:hint="eastAsia" w:ascii="楷体" w:hAnsi="楷体" w:eastAsia="楷体" w:cs="Arial"/>
          <w:b/>
          <w:bCs/>
          <w:color w:val="auto"/>
          <w:sz w:val="24"/>
          <w:lang w:val="en-US" w:eastAsia="zh-CN"/>
        </w:rPr>
        <w:t>安装服务阶段：</w:t>
      </w:r>
      <w:r>
        <w:rPr>
          <w:rFonts w:hint="eastAsia" w:ascii="楷体" w:hAnsi="楷体" w:eastAsia="楷体" w:cs="Arial"/>
          <w:color w:val="auto"/>
          <w:sz w:val="24"/>
          <w:lang w:val="en-US" w:eastAsia="zh-CN"/>
        </w:rPr>
        <w:t>依据院方要求、招标文件、家具生产采购合同，对生产制造商生产现场交付过程中的安装质量及现场成品、环境保护的全流程监督，以确保安装质量达到合同要求、现场成品保护及环境保护达到院方要求。输出文件：《安装质量评估报告》。</w:t>
      </w:r>
    </w:p>
    <w:p w14:paraId="6BE3CFC1">
      <w:pPr>
        <w:wordWrap w:val="0"/>
        <w:spacing w:before="156" w:beforeLines="50" w:after="156" w:afterLines="50" w:line="360" w:lineRule="auto"/>
        <w:ind w:firstLine="482" w:firstLineChars="200"/>
        <w:rPr>
          <w:rFonts w:hint="eastAsia" w:ascii="楷体" w:hAnsi="楷体" w:eastAsia="楷体" w:cs="Arial"/>
          <w:color w:val="auto"/>
          <w:sz w:val="24"/>
          <w:lang w:eastAsia="zh-CN"/>
        </w:rPr>
      </w:pPr>
      <w:r>
        <w:rPr>
          <w:rFonts w:ascii="楷体" w:hAnsi="楷体" w:eastAsia="楷体" w:cs="Arial"/>
          <w:b/>
          <w:bCs/>
          <w:color w:val="auto"/>
          <w:sz w:val="24"/>
        </w:rPr>
        <w:t>3.</w:t>
      </w:r>
      <w:r>
        <w:rPr>
          <w:rFonts w:hint="eastAsia" w:ascii="楷体" w:hAnsi="楷体" w:eastAsia="楷体" w:cs="Arial"/>
          <w:b/>
          <w:bCs/>
          <w:color w:val="auto"/>
          <w:sz w:val="24"/>
          <w:lang w:val="en-US" w:eastAsia="zh-CN"/>
        </w:rPr>
        <w:t>验收阶段</w:t>
      </w:r>
      <w:r>
        <w:rPr>
          <w:rFonts w:hint="eastAsia" w:ascii="楷体" w:hAnsi="楷体" w:eastAsia="楷体" w:cs="Arial"/>
          <w:b/>
          <w:bCs/>
          <w:color w:val="auto"/>
          <w:sz w:val="24"/>
          <w:lang w:eastAsia="zh-CN"/>
        </w:rPr>
        <w:t>：</w:t>
      </w:r>
      <w:r>
        <w:rPr>
          <w:rFonts w:hint="eastAsia" w:ascii="楷体" w:hAnsi="楷体" w:eastAsia="楷体" w:cs="Arial"/>
          <w:color w:val="auto"/>
          <w:sz w:val="24"/>
          <w:lang w:val="en-US" w:eastAsia="zh-CN"/>
        </w:rPr>
        <w:t>依据院方要求、招标文件、合同等相关文件，对相关货物的验收，对没按照院方要求、招标文件及设计、采购合同要求的，发出整改通知，并督促供应商进行整改，以达到符合相关标准要求。输出文件：出具《验收报告》。</w:t>
      </w:r>
    </w:p>
    <w:p w14:paraId="7FDA5142">
      <w:pPr>
        <w:wordWrap w:val="0"/>
        <w:spacing w:before="156" w:beforeLines="50" w:after="156" w:afterLines="50" w:line="360" w:lineRule="auto"/>
        <w:ind w:firstLine="482" w:firstLineChars="200"/>
        <w:rPr>
          <w:rFonts w:ascii="楷体" w:hAnsi="楷体" w:eastAsia="楷体" w:cs="Arial"/>
          <w:color w:val="auto"/>
          <w:sz w:val="24"/>
        </w:rPr>
      </w:pPr>
      <w:r>
        <w:rPr>
          <w:rFonts w:ascii="楷体" w:hAnsi="楷体" w:eastAsia="楷体" w:cs="Arial"/>
          <w:b/>
          <w:bCs/>
          <w:color w:val="auto"/>
          <w:sz w:val="24"/>
        </w:rPr>
        <w:t>4.</w:t>
      </w:r>
      <w:r>
        <w:rPr>
          <w:rFonts w:hint="eastAsia" w:ascii="楷体" w:hAnsi="楷体" w:eastAsia="楷体" w:cs="Arial"/>
          <w:b/>
          <w:bCs/>
          <w:color w:val="auto"/>
          <w:sz w:val="24"/>
          <w:lang w:val="en-US" w:eastAsia="zh-CN"/>
        </w:rPr>
        <w:t>结算阶段：</w:t>
      </w:r>
      <w:r>
        <w:rPr>
          <w:rFonts w:hint="eastAsia" w:ascii="楷体" w:hAnsi="楷体" w:eastAsia="楷体" w:cs="Arial"/>
          <w:color w:val="auto"/>
          <w:sz w:val="24"/>
          <w:lang w:val="en-US" w:eastAsia="zh-CN"/>
        </w:rPr>
        <w:t>对项目实施验收合格后，配合甲方进行结算审批。输出文件：《结算表》及出具《款项支付申请报告》审批文件。</w:t>
      </w:r>
    </w:p>
    <w:p w14:paraId="578698B5">
      <w:pPr>
        <w:wordWrap w:val="0"/>
        <w:spacing w:before="156" w:beforeLines="50" w:after="156" w:afterLines="50" w:line="360" w:lineRule="auto"/>
        <w:ind w:firstLine="482" w:firstLineChars="200"/>
        <w:rPr>
          <w:rFonts w:hint="eastAsia" w:ascii="楷体" w:hAnsi="楷体" w:eastAsia="楷体" w:cs="Arial"/>
          <w:color w:val="auto"/>
          <w:sz w:val="24"/>
        </w:rPr>
      </w:pPr>
      <w:r>
        <w:rPr>
          <w:rFonts w:ascii="楷体" w:hAnsi="楷体" w:eastAsia="楷体" w:cs="Arial"/>
          <w:b/>
          <w:bCs/>
          <w:color w:val="auto"/>
          <w:sz w:val="24"/>
        </w:rPr>
        <w:t>5.</w:t>
      </w:r>
      <w:r>
        <w:rPr>
          <w:rFonts w:hint="eastAsia" w:ascii="楷体" w:hAnsi="楷体" w:eastAsia="楷体" w:cs="Arial"/>
          <w:b/>
          <w:bCs/>
          <w:color w:val="auto"/>
          <w:sz w:val="24"/>
          <w:lang w:val="en-US" w:eastAsia="zh-CN"/>
        </w:rPr>
        <w:t>生产的监督抽样及检测工作</w:t>
      </w:r>
      <w:r>
        <w:rPr>
          <w:rFonts w:hint="eastAsia" w:ascii="楷体" w:hAnsi="楷体" w:eastAsia="楷体" w:cs="Arial"/>
          <w:color w:val="auto"/>
          <w:sz w:val="24"/>
          <w:lang w:val="en-US" w:eastAsia="zh-CN"/>
        </w:rPr>
        <w:t>：</w:t>
      </w:r>
      <w:r>
        <w:rPr>
          <w:rFonts w:hint="eastAsia" w:ascii="楷体" w:hAnsi="楷体" w:eastAsia="楷体" w:cs="Arial"/>
          <w:color w:val="auto"/>
          <w:sz w:val="24"/>
        </w:rPr>
        <w:t>编制</w:t>
      </w:r>
      <w:r>
        <w:rPr>
          <w:rFonts w:hint="eastAsia" w:ascii="楷体" w:hAnsi="楷体" w:eastAsia="楷体" w:cs="Arial"/>
          <w:color w:val="auto"/>
          <w:sz w:val="24"/>
          <w:lang w:eastAsia="zh-CN"/>
        </w:rPr>
        <w:t>《</w:t>
      </w:r>
      <w:r>
        <w:rPr>
          <w:rFonts w:hint="eastAsia" w:ascii="楷体" w:hAnsi="楷体" w:eastAsia="楷体" w:cs="Arial"/>
          <w:color w:val="auto"/>
          <w:sz w:val="24"/>
          <w:lang w:val="en-US" w:eastAsia="zh-CN"/>
        </w:rPr>
        <w:t>抽样检测计划及检测方案</w:t>
      </w:r>
      <w:r>
        <w:rPr>
          <w:rFonts w:hint="eastAsia" w:ascii="楷体" w:hAnsi="楷体" w:eastAsia="楷体" w:cs="Arial"/>
          <w:color w:val="auto"/>
          <w:sz w:val="24"/>
          <w:lang w:eastAsia="zh-CN"/>
        </w:rPr>
        <w:t>》，</w:t>
      </w:r>
      <w:r>
        <w:rPr>
          <w:rFonts w:hint="eastAsia" w:ascii="楷体" w:hAnsi="楷体" w:eastAsia="楷体" w:cs="Arial"/>
          <w:color w:val="auto"/>
          <w:sz w:val="24"/>
          <w:lang w:val="en-US" w:eastAsia="zh-CN"/>
        </w:rPr>
        <w:t>其包含</w:t>
      </w:r>
      <w:r>
        <w:rPr>
          <w:rFonts w:hint="eastAsia" w:ascii="楷体" w:hAnsi="楷体" w:eastAsia="楷体" w:cs="Arial"/>
          <w:color w:val="auto"/>
          <w:sz w:val="24"/>
        </w:rPr>
        <w:t>《原材料抽样检测方案》、《</w:t>
      </w:r>
      <w:r>
        <w:rPr>
          <w:rFonts w:hint="eastAsia" w:ascii="楷体" w:hAnsi="楷体" w:eastAsia="楷体" w:cs="Arial"/>
          <w:color w:val="auto"/>
          <w:sz w:val="24"/>
          <w:lang w:val="en-US" w:eastAsia="zh-CN"/>
        </w:rPr>
        <w:t>半成品</w:t>
      </w:r>
      <w:r>
        <w:rPr>
          <w:rFonts w:hint="eastAsia" w:ascii="楷体" w:hAnsi="楷体" w:eastAsia="楷体" w:cs="Arial"/>
          <w:color w:val="auto"/>
          <w:sz w:val="24"/>
        </w:rPr>
        <w:t>抽样检测方案》</w:t>
      </w:r>
      <w:r>
        <w:rPr>
          <w:rFonts w:hint="eastAsia" w:ascii="楷体" w:hAnsi="楷体" w:eastAsia="楷体" w:cs="Arial"/>
          <w:color w:val="auto"/>
          <w:sz w:val="24"/>
          <w:lang w:eastAsia="zh-CN"/>
        </w:rPr>
        <w:t>、</w:t>
      </w:r>
      <w:r>
        <w:rPr>
          <w:rFonts w:hint="eastAsia" w:ascii="楷体" w:hAnsi="楷体" w:eastAsia="楷体" w:cs="Arial"/>
          <w:color w:val="auto"/>
          <w:sz w:val="24"/>
        </w:rPr>
        <w:t>《成品抽样检测方案》实施抽样并进行检测。</w:t>
      </w:r>
      <w:r>
        <w:rPr>
          <w:rFonts w:hint="eastAsia" w:ascii="楷体" w:hAnsi="楷体" w:eastAsia="楷体" w:cs="Arial"/>
          <w:color w:val="auto"/>
          <w:sz w:val="24"/>
          <w:lang w:val="en-US" w:eastAsia="zh-CN"/>
        </w:rPr>
        <w:t>各标段按产品品类进行抽检，单个品类原材料每一批次抽检数量不低于3</w:t>
      </w:r>
      <w:r>
        <w:rPr>
          <w:rFonts w:hint="eastAsia" w:ascii="楷体" w:hAnsi="楷体" w:eastAsia="楷体" w:cs="Arial"/>
          <w:color w:val="auto"/>
          <w:sz w:val="24"/>
        </w:rPr>
        <w:t>个</w:t>
      </w:r>
      <w:r>
        <w:rPr>
          <w:rFonts w:hint="eastAsia" w:ascii="楷体" w:hAnsi="楷体" w:eastAsia="楷体" w:cs="Arial"/>
          <w:color w:val="auto"/>
          <w:sz w:val="24"/>
          <w:lang w:eastAsia="zh-CN"/>
        </w:rPr>
        <w:t>；</w:t>
      </w:r>
      <w:r>
        <w:rPr>
          <w:rFonts w:hint="eastAsia" w:ascii="楷体" w:hAnsi="楷体" w:eastAsia="楷体" w:cs="Arial"/>
          <w:color w:val="auto"/>
          <w:sz w:val="24"/>
          <w:lang w:val="en-US" w:eastAsia="zh-CN"/>
        </w:rPr>
        <w:t>单个品类半成品检测数量不低于5个，单个品类</w:t>
      </w:r>
      <w:r>
        <w:rPr>
          <w:rFonts w:hint="eastAsia" w:ascii="楷体" w:hAnsi="楷体" w:eastAsia="楷体" w:cs="Arial"/>
          <w:color w:val="auto"/>
          <w:sz w:val="24"/>
        </w:rPr>
        <w:t>成品检测数量不低于</w:t>
      </w:r>
      <w:r>
        <w:rPr>
          <w:rFonts w:hint="eastAsia" w:ascii="楷体" w:hAnsi="楷体" w:eastAsia="楷体" w:cs="Arial"/>
          <w:color w:val="auto"/>
          <w:sz w:val="24"/>
          <w:lang w:val="en-US" w:eastAsia="zh-CN"/>
        </w:rPr>
        <w:t>5</w:t>
      </w:r>
      <w:r>
        <w:rPr>
          <w:rFonts w:hint="eastAsia" w:ascii="楷体" w:hAnsi="楷体" w:eastAsia="楷体" w:cs="Arial"/>
          <w:color w:val="auto"/>
          <w:sz w:val="24"/>
        </w:rPr>
        <w:t>个</w:t>
      </w:r>
      <w:r>
        <w:rPr>
          <w:rFonts w:hint="eastAsia" w:ascii="楷体" w:hAnsi="楷体" w:eastAsia="楷体" w:cs="Arial"/>
          <w:color w:val="auto"/>
          <w:sz w:val="24"/>
          <w:lang w:eastAsia="zh-CN"/>
        </w:rPr>
        <w:t>。</w:t>
      </w:r>
      <w:r>
        <w:rPr>
          <w:rFonts w:hint="eastAsia" w:ascii="楷体" w:hAnsi="楷体" w:eastAsia="楷体" w:cs="Arial"/>
          <w:color w:val="auto"/>
          <w:sz w:val="24"/>
        </w:rPr>
        <w:t>实际检测数量应根据采购人实际需求及各标段实际家具采购情况合理</w:t>
      </w:r>
      <w:r>
        <w:rPr>
          <w:rFonts w:hint="eastAsia" w:ascii="楷体" w:hAnsi="楷体" w:eastAsia="楷体" w:cs="Arial"/>
          <w:color w:val="auto"/>
          <w:sz w:val="24"/>
          <w:lang w:val="en-US" w:eastAsia="zh-CN"/>
        </w:rPr>
        <w:t>调整</w:t>
      </w:r>
      <w:r>
        <w:rPr>
          <w:rFonts w:hint="eastAsia" w:ascii="楷体" w:hAnsi="楷体" w:eastAsia="楷体" w:cs="Arial"/>
          <w:color w:val="auto"/>
          <w:sz w:val="24"/>
        </w:rPr>
        <w:t>。</w:t>
      </w:r>
    </w:p>
    <w:p w14:paraId="472C8913">
      <w:pPr>
        <w:wordWrap w:val="0"/>
        <w:spacing w:before="156" w:beforeLines="50" w:after="156" w:afterLines="50" w:line="360" w:lineRule="auto"/>
        <w:ind w:firstLine="480" w:firstLineChars="200"/>
        <w:rPr>
          <w:rFonts w:hint="eastAsia" w:ascii="楷体" w:hAnsi="楷体" w:eastAsia="楷体" w:cs="Arial"/>
          <w:color w:val="auto"/>
          <w:sz w:val="24"/>
          <w:lang w:val="en-US" w:eastAsia="zh-CN"/>
        </w:rPr>
      </w:pPr>
      <w:r>
        <w:rPr>
          <w:rFonts w:hint="eastAsia" w:ascii="楷体" w:hAnsi="楷体" w:eastAsia="楷体" w:cs="Arial"/>
          <w:color w:val="auto"/>
          <w:sz w:val="24"/>
        </w:rPr>
        <w:t>检测范围为覆盖不同品类的家具产品，以及采购人提出的检测内容。检测内容包括但不限于环保测</w:t>
      </w:r>
      <w:r>
        <w:rPr>
          <w:rFonts w:hint="eastAsia" w:ascii="楷体" w:hAnsi="楷体" w:eastAsia="楷体" w:cs="Arial"/>
          <w:color w:val="auto"/>
          <w:sz w:val="24"/>
          <w:lang w:val="en-US" w:eastAsia="zh-CN"/>
        </w:rPr>
        <w:t>试(含甲醛、TVOC、苯系物等致癌有机物、重金属等)、安全测试(含力学强度、稳定性测试)、理化性能(含家具表面耐腐蚀、耐磨、耐划痕等)（如产品适用的情况下），为货物验收提供客观数据。</w:t>
      </w:r>
    </w:p>
    <w:p w14:paraId="6FC2294A">
      <w:pPr>
        <w:wordWrap w:val="0"/>
        <w:spacing w:before="156" w:beforeLines="50" w:after="156" w:afterLines="50" w:line="360" w:lineRule="auto"/>
        <w:ind w:firstLine="480" w:firstLineChars="200"/>
        <w:rPr>
          <w:rFonts w:hint="eastAsia" w:ascii="楷体" w:hAnsi="楷体" w:eastAsia="楷体" w:cs="Arial"/>
          <w:color w:val="auto"/>
          <w:sz w:val="24"/>
          <w:lang w:val="en-US" w:eastAsia="zh-CN"/>
        </w:rPr>
      </w:pPr>
      <w:r>
        <w:rPr>
          <w:rFonts w:hint="eastAsia" w:ascii="楷体" w:hAnsi="楷体" w:eastAsia="楷体" w:cs="Arial"/>
          <w:color w:val="auto"/>
          <w:sz w:val="24"/>
          <w:lang w:val="en-US" w:eastAsia="zh-CN"/>
        </w:rPr>
        <w:t>原材料、半成品、成品及安装完成后进行的初始检测费，由家具中标供应商支付，初始检测方案中的检测费比例不超过家具中标价的1%。</w:t>
      </w:r>
    </w:p>
    <w:p w14:paraId="06E1D81B">
      <w:pPr>
        <w:wordWrap w:val="0"/>
        <w:spacing w:before="156" w:beforeLines="50" w:after="156" w:afterLines="50" w:line="360" w:lineRule="auto"/>
        <w:ind w:firstLine="480" w:firstLineChars="200"/>
        <w:rPr>
          <w:rFonts w:ascii="楷体" w:hAnsi="楷体" w:eastAsia="楷体" w:cs="Arial"/>
          <w:color w:val="auto"/>
          <w:sz w:val="24"/>
        </w:rPr>
      </w:pPr>
      <w:r>
        <w:rPr>
          <w:rFonts w:hint="eastAsia" w:ascii="楷体" w:hAnsi="楷体" w:eastAsia="楷体" w:cs="Arial"/>
          <w:color w:val="auto"/>
          <w:sz w:val="24"/>
          <w:lang w:val="en-US" w:eastAsia="zh-CN"/>
        </w:rPr>
        <w:t>抽样样品如检测不合格，投标人应出具《整改通知书》等相关文件，要求中标企业进行整改并跟进整改过程。整改完成后进行复检，直至检测结果合格为止。因检测不合格产生的复检费用由该标段的家具供应商承担。</w:t>
      </w:r>
    </w:p>
    <w:p w14:paraId="57E10393">
      <w:pPr>
        <w:wordWrap w:val="0"/>
        <w:spacing w:before="156" w:beforeLines="50" w:after="156" w:afterLines="50" w:line="360" w:lineRule="auto"/>
        <w:rPr>
          <w:rFonts w:ascii="楷体" w:hAnsi="楷体" w:eastAsia="楷体" w:cs="Arial"/>
          <w:b/>
          <w:color w:val="auto"/>
          <w:sz w:val="24"/>
        </w:rPr>
      </w:pPr>
      <w:r>
        <w:rPr>
          <w:rFonts w:hint="eastAsia" w:ascii="楷体" w:hAnsi="楷体" w:eastAsia="楷体" w:cs="Arial"/>
          <w:color w:val="auto"/>
          <w:sz w:val="24"/>
          <w:lang w:eastAsia="zh-CN"/>
        </w:rPr>
        <w:t>。</w:t>
      </w:r>
      <w:r>
        <w:rPr>
          <w:rFonts w:ascii="楷体" w:hAnsi="楷体" w:eastAsia="楷体" w:cs="Arial"/>
          <w:b/>
          <w:color w:val="auto"/>
          <w:sz w:val="24"/>
        </w:rPr>
        <w:t>三、合同费用</w:t>
      </w:r>
    </w:p>
    <w:p w14:paraId="2A8625A6">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1.</w:t>
      </w:r>
      <w:r>
        <w:rPr>
          <w:rFonts w:hint="eastAsia" w:ascii="楷体" w:hAnsi="楷体" w:eastAsia="楷体" w:cs="Arial"/>
          <w:color w:val="auto"/>
          <w:sz w:val="24"/>
        </w:rPr>
        <w:t>本项目监理费用为人民币</w:t>
      </w:r>
      <w:r>
        <w:rPr>
          <w:rFonts w:hint="eastAsia" w:ascii="楷体" w:hAnsi="楷体" w:eastAsia="楷体" w:cs="Arial"/>
          <w:color w:val="auto"/>
          <w:sz w:val="24"/>
          <w:u w:val="single"/>
        </w:rPr>
        <w:t xml:space="preserve">          </w:t>
      </w:r>
      <w:r>
        <w:rPr>
          <w:rFonts w:hint="eastAsia" w:ascii="楷体" w:hAnsi="楷体" w:eastAsia="楷体" w:cs="Arial"/>
          <w:color w:val="auto"/>
          <w:sz w:val="24"/>
        </w:rPr>
        <w:t>元</w:t>
      </w:r>
      <w:r>
        <w:rPr>
          <w:rFonts w:ascii="楷体" w:hAnsi="楷体" w:eastAsia="楷体" w:cs="Arial"/>
          <w:color w:val="auto"/>
          <w:sz w:val="24"/>
        </w:rPr>
        <w:t>（大写</w:t>
      </w:r>
      <w:r>
        <w:rPr>
          <w:rFonts w:hint="eastAsia" w:ascii="楷体" w:hAnsi="楷体" w:eastAsia="楷体" w:cs="Arial"/>
          <w:color w:val="auto"/>
          <w:sz w:val="24"/>
          <w:u w:val="single"/>
        </w:rPr>
        <w:t xml:space="preserve"> 万 仟 佰 拾 元 角 分</w:t>
      </w:r>
      <w:r>
        <w:rPr>
          <w:rFonts w:ascii="楷体" w:hAnsi="楷体" w:eastAsia="楷体" w:cs="Arial"/>
          <w:color w:val="auto"/>
          <w:sz w:val="24"/>
        </w:rPr>
        <w:t>）</w:t>
      </w:r>
      <w:r>
        <w:rPr>
          <w:rFonts w:hint="eastAsia" w:ascii="楷体" w:hAnsi="楷体" w:eastAsia="楷体" w:cs="Arial"/>
          <w:color w:val="auto"/>
          <w:sz w:val="24"/>
        </w:rPr>
        <w:t>。</w:t>
      </w:r>
    </w:p>
    <w:p w14:paraId="29FCE839">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2.付款方式：</w:t>
      </w:r>
    </w:p>
    <w:p w14:paraId="0301538C">
      <w:pPr>
        <w:wordWrap w:val="0"/>
        <w:spacing w:before="156" w:beforeLines="50" w:after="156" w:afterLines="50" w:line="360" w:lineRule="auto"/>
        <w:ind w:firstLine="480" w:firstLineChars="200"/>
        <w:rPr>
          <w:rFonts w:hint="eastAsia" w:ascii="仿宋" w:hAnsi="仿宋" w:eastAsia="仿宋" w:cs="仿宋"/>
          <w:color w:val="auto"/>
          <w:kern w:val="0"/>
          <w:sz w:val="24"/>
          <w:szCs w:val="24"/>
          <w:highlight w:val="none"/>
        </w:rPr>
      </w:pPr>
      <w:r>
        <w:rPr>
          <w:rFonts w:ascii="楷体" w:hAnsi="楷体" w:eastAsia="楷体" w:cs="Arial"/>
          <w:color w:val="auto"/>
          <w:sz w:val="24"/>
        </w:rPr>
        <w:t xml:space="preserve">    </w:t>
      </w:r>
      <w:r>
        <w:rPr>
          <w:rFonts w:hint="eastAsia" w:ascii="仿宋" w:hAnsi="仿宋" w:eastAsia="仿宋" w:cs="仿宋"/>
          <w:color w:val="auto"/>
          <w:kern w:val="0"/>
          <w:sz w:val="24"/>
          <w:szCs w:val="24"/>
          <w:highlight w:val="none"/>
        </w:rPr>
        <w:t>合同签订后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采购人收到中标人发票后按照相应时间规定支付合同总价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预付款</w:t>
      </w:r>
      <w:r>
        <w:rPr>
          <w:rFonts w:hint="eastAsia" w:ascii="仿宋" w:hAnsi="仿宋" w:eastAsia="仿宋" w:cs="仿宋"/>
          <w:color w:val="auto"/>
          <w:kern w:val="0"/>
          <w:sz w:val="24"/>
          <w:szCs w:val="24"/>
          <w:highlight w:val="none"/>
          <w:lang w:eastAsia="zh-CN"/>
        </w:rPr>
        <w:t>，</w:t>
      </w:r>
      <w:r>
        <w:rPr>
          <w:rFonts w:ascii="楷体" w:hAnsi="楷体" w:eastAsia="楷体" w:cs="Arial"/>
          <w:color w:val="auto"/>
          <w:sz w:val="24"/>
        </w:rPr>
        <w:t>计为人民币</w:t>
      </w:r>
      <w:r>
        <w:rPr>
          <w:rFonts w:hint="eastAsia" w:ascii="楷体" w:hAnsi="楷体" w:eastAsia="楷体" w:cs="Arial"/>
          <w:color w:val="auto"/>
          <w:sz w:val="24"/>
          <w:u w:val="single"/>
        </w:rPr>
        <w:t xml:space="preserve">   </w:t>
      </w:r>
      <w:r>
        <w:rPr>
          <w:rFonts w:hint="eastAsia" w:ascii="楷体" w:hAnsi="楷体" w:eastAsia="楷体" w:cs="Arial"/>
          <w:color w:val="auto"/>
          <w:sz w:val="24"/>
          <w:u w:val="single"/>
          <w:lang w:val="en-US" w:eastAsia="zh-CN"/>
        </w:rPr>
        <w:t xml:space="preserve">   </w:t>
      </w:r>
      <w:r>
        <w:rPr>
          <w:rFonts w:ascii="楷体" w:hAnsi="楷体" w:eastAsia="楷体" w:cs="Arial"/>
          <w:color w:val="auto"/>
          <w:sz w:val="24"/>
        </w:rPr>
        <w:t>（大写</w:t>
      </w:r>
      <w:r>
        <w:rPr>
          <w:rFonts w:hint="eastAsia" w:ascii="楷体" w:hAnsi="楷体" w:eastAsia="楷体" w:cs="Arial"/>
          <w:color w:val="auto"/>
          <w:sz w:val="24"/>
          <w:u w:val="single"/>
        </w:rPr>
        <w:t xml:space="preserve"> 万 仟 佰 拾 元 角 分</w:t>
      </w:r>
      <w:r>
        <w:rPr>
          <w:rFonts w:ascii="楷体" w:hAnsi="楷体" w:eastAsia="楷体" w:cs="Arial"/>
          <w:color w:val="auto"/>
          <w:sz w:val="24"/>
        </w:rPr>
        <w:t>）</w:t>
      </w:r>
      <w:r>
        <w:rPr>
          <w:rFonts w:hint="eastAsia" w:ascii="仿宋" w:hAnsi="仿宋" w:eastAsia="仿宋" w:cs="仿宋"/>
          <w:color w:val="auto"/>
          <w:kern w:val="0"/>
          <w:sz w:val="24"/>
          <w:szCs w:val="24"/>
          <w:highlight w:val="none"/>
        </w:rPr>
        <w:t>。</w:t>
      </w:r>
    </w:p>
    <w:p w14:paraId="7590E714">
      <w:pPr>
        <w:wordWrap w:val="0"/>
        <w:spacing w:before="156" w:beforeLines="50" w:after="156" w:afterLines="5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项目验收合格后，采购人收到中标人发票后按照相应时间规定支付合同总价</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0%的验收款</w:t>
      </w:r>
      <w:r>
        <w:rPr>
          <w:rFonts w:hint="eastAsia" w:ascii="仿宋" w:hAnsi="仿宋" w:eastAsia="仿宋" w:cs="仿宋"/>
          <w:color w:val="auto"/>
          <w:kern w:val="0"/>
          <w:sz w:val="24"/>
          <w:szCs w:val="24"/>
          <w:highlight w:val="none"/>
          <w:lang w:eastAsia="zh-CN"/>
        </w:rPr>
        <w:t>，</w:t>
      </w:r>
      <w:r>
        <w:rPr>
          <w:rFonts w:ascii="楷体" w:hAnsi="楷体" w:eastAsia="楷体" w:cs="Arial"/>
          <w:color w:val="auto"/>
          <w:sz w:val="24"/>
        </w:rPr>
        <w:t>计人民币</w:t>
      </w:r>
      <w:r>
        <w:rPr>
          <w:rFonts w:hint="eastAsia" w:ascii="楷体" w:hAnsi="楷体" w:eastAsia="楷体" w:cs="Arial"/>
          <w:color w:val="auto"/>
          <w:sz w:val="24"/>
          <w:u w:val="single"/>
        </w:rPr>
        <w:t xml:space="preserve">   </w:t>
      </w:r>
      <w:r>
        <w:rPr>
          <w:rFonts w:hint="eastAsia" w:ascii="楷体" w:hAnsi="楷体" w:eastAsia="楷体" w:cs="Arial"/>
          <w:color w:val="auto"/>
          <w:sz w:val="24"/>
          <w:u w:val="single"/>
          <w:lang w:val="en-US" w:eastAsia="zh-CN"/>
        </w:rPr>
        <w:t xml:space="preserve">   </w:t>
      </w:r>
      <w:r>
        <w:rPr>
          <w:rFonts w:ascii="楷体" w:hAnsi="楷体" w:eastAsia="楷体" w:cs="Arial"/>
          <w:color w:val="auto"/>
          <w:sz w:val="24"/>
        </w:rPr>
        <w:t>（大写</w:t>
      </w:r>
      <w:r>
        <w:rPr>
          <w:rFonts w:hint="eastAsia" w:ascii="楷体" w:hAnsi="楷体" w:eastAsia="楷体" w:cs="Arial"/>
          <w:color w:val="auto"/>
          <w:sz w:val="24"/>
          <w:u w:val="single"/>
        </w:rPr>
        <w:t xml:space="preserve"> 万 仟 佰 拾 元 角 分</w:t>
      </w:r>
      <w:r>
        <w:rPr>
          <w:rFonts w:ascii="楷体" w:hAnsi="楷体" w:eastAsia="楷体" w:cs="Arial"/>
          <w:color w:val="auto"/>
          <w:sz w:val="24"/>
        </w:rPr>
        <w:t>）</w:t>
      </w:r>
      <w:r>
        <w:rPr>
          <w:rFonts w:hint="eastAsia" w:ascii="仿宋" w:hAnsi="仿宋" w:eastAsia="仿宋" w:cs="仿宋"/>
          <w:color w:val="auto"/>
          <w:kern w:val="0"/>
          <w:sz w:val="24"/>
          <w:szCs w:val="24"/>
          <w:highlight w:val="none"/>
        </w:rPr>
        <w:t>。</w:t>
      </w:r>
    </w:p>
    <w:p w14:paraId="69ABE9B7">
      <w:pPr>
        <w:wordWrap w:val="0"/>
        <w:spacing w:before="156" w:beforeLines="50" w:after="156" w:afterLines="50" w:line="360" w:lineRule="auto"/>
        <w:ind w:firstLine="480" w:firstLineChars="200"/>
        <w:rPr>
          <w:rFonts w:ascii="楷体" w:hAnsi="楷体" w:eastAsia="楷体" w:cs="Arial"/>
          <w:color w:val="auto"/>
          <w:sz w:val="24"/>
        </w:rPr>
      </w:pPr>
      <w:r>
        <w:rPr>
          <w:rFonts w:hint="eastAsia" w:ascii="仿宋" w:hAnsi="仿宋" w:eastAsia="仿宋" w:cs="仿宋"/>
          <w:color w:val="auto"/>
          <w:kern w:val="0"/>
          <w:sz w:val="24"/>
          <w:szCs w:val="24"/>
          <w:highlight w:val="none"/>
        </w:rPr>
        <w:t>中标人每期收款均需提供相应的发票。</w:t>
      </w:r>
    </w:p>
    <w:p w14:paraId="25CB5587">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双方同意通过转</w:t>
      </w:r>
      <w:r>
        <w:rPr>
          <w:rFonts w:hint="eastAsia" w:ascii="楷体" w:hAnsi="楷体" w:eastAsia="楷体" w:cs="Arial"/>
          <w:color w:val="auto"/>
          <w:sz w:val="24"/>
        </w:rPr>
        <w:t>账</w:t>
      </w:r>
      <w:r>
        <w:rPr>
          <w:rFonts w:ascii="楷体" w:hAnsi="楷体" w:eastAsia="楷体" w:cs="Arial"/>
          <w:color w:val="auto"/>
          <w:sz w:val="24"/>
        </w:rPr>
        <w:t>的方式支付监理费</w:t>
      </w:r>
      <w:r>
        <w:rPr>
          <w:rFonts w:hint="eastAsia" w:ascii="楷体" w:hAnsi="楷体" w:eastAsia="楷体" w:cs="Arial"/>
          <w:color w:val="auto"/>
          <w:sz w:val="24"/>
        </w:rPr>
        <w:t>，账户信息如下：</w:t>
      </w:r>
    </w:p>
    <w:p w14:paraId="020F38CD">
      <w:pPr>
        <w:wordWrap w:val="0"/>
        <w:spacing w:before="156" w:beforeLines="50" w:after="156" w:afterLines="50" w:line="360" w:lineRule="auto"/>
        <w:ind w:firstLine="480" w:firstLineChars="200"/>
        <w:rPr>
          <w:rFonts w:hint="eastAsia" w:ascii="楷体" w:hAnsi="楷体" w:eastAsia="楷体" w:cs="Arial"/>
          <w:color w:val="auto"/>
          <w:sz w:val="24"/>
          <w:lang w:eastAsia="zh-CN"/>
        </w:rPr>
      </w:pPr>
      <w:r>
        <w:rPr>
          <w:rFonts w:hint="eastAsia" w:ascii="楷体" w:hAnsi="楷体" w:eastAsia="楷体" w:cs="Arial"/>
          <w:color w:val="auto"/>
          <w:sz w:val="24"/>
        </w:rPr>
        <w:t>单位名称：</w:t>
      </w:r>
      <w:r>
        <w:rPr>
          <w:rFonts w:hint="eastAsia" w:ascii="楷体" w:hAnsi="楷体" w:eastAsia="楷体" w:cs="Arial"/>
          <w:color w:val="auto"/>
          <w:sz w:val="24"/>
          <w:lang w:val="en-US" w:eastAsia="zh-CN"/>
        </w:rPr>
        <w:t>XXXXXXXXX</w:t>
      </w:r>
    </w:p>
    <w:p w14:paraId="3B26533A">
      <w:pPr>
        <w:wordWrap w:val="0"/>
        <w:spacing w:before="156" w:beforeLines="50" w:after="156" w:afterLines="50" w:line="360" w:lineRule="auto"/>
        <w:ind w:firstLine="480" w:firstLineChars="200"/>
        <w:rPr>
          <w:rFonts w:hint="eastAsia" w:ascii="楷体" w:hAnsi="楷体" w:eastAsia="楷体" w:cs="Arial"/>
          <w:color w:val="auto"/>
          <w:sz w:val="24"/>
          <w:lang w:val="en-US" w:eastAsia="zh-CN"/>
        </w:rPr>
      </w:pPr>
      <w:r>
        <w:rPr>
          <w:rFonts w:hint="eastAsia" w:ascii="楷体" w:hAnsi="楷体" w:eastAsia="楷体" w:cs="Arial"/>
          <w:color w:val="auto"/>
          <w:sz w:val="24"/>
        </w:rPr>
        <w:t>开 户 行：</w:t>
      </w:r>
      <w:r>
        <w:rPr>
          <w:rFonts w:hint="eastAsia" w:ascii="楷体" w:hAnsi="楷体" w:eastAsia="楷体" w:cs="Arial"/>
          <w:color w:val="auto"/>
          <w:sz w:val="24"/>
          <w:lang w:val="en-US" w:eastAsia="zh-CN"/>
        </w:rPr>
        <w:t>XXXXXXXXX</w:t>
      </w:r>
    </w:p>
    <w:p w14:paraId="4B4A730C">
      <w:pPr>
        <w:wordWrap w:val="0"/>
        <w:spacing w:before="156" w:beforeLines="50" w:after="156" w:afterLines="50" w:line="360" w:lineRule="auto"/>
        <w:ind w:firstLine="480" w:firstLineChars="200"/>
        <w:rPr>
          <w:rFonts w:hint="eastAsia" w:ascii="楷体" w:hAnsi="楷体" w:eastAsia="楷体" w:cs="Arial"/>
          <w:color w:val="auto"/>
          <w:sz w:val="24"/>
          <w:lang w:val="en-US" w:eastAsia="zh-CN"/>
        </w:rPr>
      </w:pPr>
      <w:r>
        <w:rPr>
          <w:rFonts w:hint="eastAsia" w:ascii="楷体" w:hAnsi="楷体" w:eastAsia="楷体" w:cs="Arial"/>
          <w:color w:val="auto"/>
          <w:sz w:val="24"/>
        </w:rPr>
        <w:t>账 户 名：</w:t>
      </w:r>
      <w:r>
        <w:rPr>
          <w:rFonts w:hint="eastAsia" w:ascii="楷体" w:hAnsi="楷体" w:eastAsia="楷体" w:cs="Arial"/>
          <w:color w:val="auto"/>
          <w:sz w:val="24"/>
          <w:lang w:val="en-US" w:eastAsia="zh-CN"/>
        </w:rPr>
        <w:t>XXXXXXXXX</w:t>
      </w:r>
    </w:p>
    <w:p w14:paraId="19118420">
      <w:pPr>
        <w:wordWrap w:val="0"/>
        <w:spacing w:before="156" w:beforeLines="50" w:after="156" w:afterLines="50" w:line="360" w:lineRule="auto"/>
        <w:ind w:firstLine="480" w:firstLineChars="200"/>
        <w:rPr>
          <w:rFonts w:ascii="楷体" w:hAnsi="楷体" w:eastAsia="楷体" w:cs="Arial"/>
          <w:color w:val="auto"/>
          <w:sz w:val="24"/>
        </w:rPr>
      </w:pPr>
      <w:r>
        <w:rPr>
          <w:rFonts w:hint="eastAsia" w:ascii="楷体" w:hAnsi="楷体" w:eastAsia="楷体" w:cs="Arial"/>
          <w:color w:val="auto"/>
          <w:sz w:val="24"/>
        </w:rPr>
        <w:t>账    号：</w:t>
      </w:r>
      <w:r>
        <w:rPr>
          <w:rFonts w:hint="eastAsia" w:ascii="楷体" w:hAnsi="楷体" w:eastAsia="楷体" w:cs="Arial"/>
          <w:color w:val="auto"/>
          <w:sz w:val="24"/>
          <w:lang w:val="en-US" w:eastAsia="zh-CN"/>
        </w:rPr>
        <w:t>XXXXXXXXX</w:t>
      </w:r>
    </w:p>
    <w:p w14:paraId="735AC58E">
      <w:pPr>
        <w:wordWrap w:val="0"/>
        <w:spacing w:before="156" w:beforeLines="50" w:after="156" w:afterLines="50" w:line="360" w:lineRule="auto"/>
        <w:ind w:firstLine="480" w:firstLineChars="200"/>
        <w:rPr>
          <w:rFonts w:ascii="楷体" w:hAnsi="楷体" w:eastAsia="楷体" w:cs="Arial"/>
          <w:color w:val="auto"/>
          <w:sz w:val="24"/>
        </w:rPr>
      </w:pPr>
      <w:r>
        <w:rPr>
          <w:rFonts w:hint="eastAsia" w:ascii="楷体" w:hAnsi="楷体" w:eastAsia="楷体" w:cs="Arial"/>
          <w:color w:val="auto"/>
          <w:sz w:val="24"/>
        </w:rPr>
        <w:t>乙方应</w:t>
      </w:r>
      <w:r>
        <w:rPr>
          <w:rFonts w:ascii="楷体" w:hAnsi="楷体" w:eastAsia="楷体" w:cs="Arial"/>
          <w:color w:val="auto"/>
          <w:sz w:val="24"/>
        </w:rPr>
        <w:t>开具发票</w:t>
      </w:r>
      <w:r>
        <w:rPr>
          <w:rFonts w:hint="eastAsia" w:ascii="楷体" w:hAnsi="楷体" w:eastAsia="楷体" w:cs="Arial"/>
          <w:color w:val="auto"/>
          <w:sz w:val="24"/>
        </w:rPr>
        <w:t>（普票/专票）</w:t>
      </w:r>
      <w:r>
        <w:rPr>
          <w:rFonts w:ascii="楷体" w:hAnsi="楷体" w:eastAsia="楷体" w:cs="Arial"/>
          <w:color w:val="auto"/>
          <w:sz w:val="24"/>
        </w:rPr>
        <w:t>的名称为</w:t>
      </w:r>
      <w:r>
        <w:rPr>
          <w:rFonts w:ascii="楷体" w:hAnsi="楷体" w:eastAsia="楷体" w:cs="Arial"/>
          <w:color w:val="auto"/>
          <w:sz w:val="24"/>
          <w:u w:val="single"/>
        </w:rPr>
        <w:t xml:space="preserve"> </w:t>
      </w:r>
      <w:r>
        <w:rPr>
          <w:rFonts w:hint="eastAsia" w:ascii="楷体" w:hAnsi="楷体" w:eastAsia="楷体" w:cs="Arial"/>
          <w:color w:val="auto"/>
          <w:sz w:val="24"/>
          <w:u w:val="single"/>
          <w:lang w:val="en-US" w:eastAsia="zh-CN"/>
        </w:rPr>
        <w:t>深圳市龙岗中心医院</w:t>
      </w:r>
      <w:r>
        <w:rPr>
          <w:rFonts w:ascii="楷体" w:hAnsi="楷体" w:eastAsia="楷体" w:cs="Arial"/>
          <w:color w:val="auto"/>
          <w:sz w:val="24"/>
          <w:u w:val="single"/>
        </w:rPr>
        <w:t xml:space="preserve">  </w:t>
      </w:r>
      <w:r>
        <w:rPr>
          <w:rFonts w:ascii="楷体" w:hAnsi="楷体" w:eastAsia="楷体" w:cs="Arial"/>
          <w:color w:val="auto"/>
          <w:sz w:val="24"/>
        </w:rPr>
        <w:t>，</w:t>
      </w:r>
      <w:r>
        <w:rPr>
          <w:rFonts w:hint="eastAsia" w:ascii="楷体" w:hAnsi="楷体" w:eastAsia="楷体" w:cs="Arial"/>
          <w:color w:val="auto"/>
          <w:sz w:val="24"/>
        </w:rPr>
        <w:t>如项目为分阶段工作，则</w:t>
      </w:r>
      <w:r>
        <w:rPr>
          <w:rFonts w:ascii="楷体" w:hAnsi="楷体" w:eastAsia="楷体" w:cs="Arial"/>
          <w:color w:val="auto"/>
          <w:sz w:val="24"/>
        </w:rPr>
        <w:t>乙方在</w:t>
      </w:r>
      <w:r>
        <w:rPr>
          <w:rFonts w:hint="eastAsia" w:ascii="楷体" w:hAnsi="楷体" w:eastAsia="楷体" w:cs="Arial"/>
          <w:color w:val="auto"/>
          <w:sz w:val="24"/>
        </w:rPr>
        <w:t>根据合同</w:t>
      </w:r>
      <w:r>
        <w:rPr>
          <w:rFonts w:ascii="楷体" w:hAnsi="楷体" w:eastAsia="楷体" w:cs="Arial"/>
          <w:color w:val="auto"/>
          <w:sz w:val="24"/>
        </w:rPr>
        <w:t>收到上一阶段监理费后1个工作日内，开始下一阶段监理工作。如甲方未足额支付乙方上一阶段监理费，乙方有权暂停下一阶段监理工作。</w:t>
      </w:r>
    </w:p>
    <w:p w14:paraId="6D9538A1">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3.合同签订的服务费用包括家具工程项目的检测费、监造费、税费等费用。</w:t>
      </w:r>
    </w:p>
    <w:p w14:paraId="6B9498A8">
      <w:pPr>
        <w:wordWrap w:val="0"/>
        <w:spacing w:before="156" w:beforeLines="50" w:after="156" w:afterLines="50" w:line="360" w:lineRule="auto"/>
        <w:rPr>
          <w:rFonts w:ascii="楷体" w:hAnsi="楷体" w:eastAsia="楷体" w:cs="Arial"/>
          <w:b/>
          <w:color w:val="auto"/>
          <w:sz w:val="24"/>
        </w:rPr>
      </w:pPr>
      <w:r>
        <w:rPr>
          <w:rFonts w:ascii="楷体" w:hAnsi="楷体" w:eastAsia="楷体" w:cs="Arial"/>
          <w:b/>
          <w:color w:val="auto"/>
          <w:sz w:val="24"/>
        </w:rPr>
        <w:t>四、双方权利与义务</w:t>
      </w:r>
    </w:p>
    <w:p w14:paraId="4CEDAB49">
      <w:pPr>
        <w:wordWrap w:val="0"/>
        <w:spacing w:before="156" w:beforeLines="50" w:after="156" w:afterLines="50" w:line="360" w:lineRule="auto"/>
        <w:ind w:firstLine="360" w:firstLineChars="150"/>
        <w:rPr>
          <w:rFonts w:ascii="楷体" w:hAnsi="楷体" w:eastAsia="楷体" w:cs="Arial"/>
          <w:color w:val="auto"/>
          <w:sz w:val="24"/>
        </w:rPr>
      </w:pPr>
      <w:r>
        <w:rPr>
          <w:rFonts w:ascii="楷体" w:hAnsi="楷体" w:eastAsia="楷体" w:cs="Arial"/>
          <w:color w:val="auto"/>
          <w:sz w:val="24"/>
        </w:rPr>
        <w:t>（一）甲方的权利与义务</w:t>
      </w:r>
    </w:p>
    <w:p w14:paraId="65DD6C31">
      <w:pPr>
        <w:wordWrap w:val="0"/>
        <w:spacing w:before="156" w:beforeLines="50" w:after="156" w:afterLines="50" w:line="360" w:lineRule="auto"/>
        <w:ind w:firstLine="495"/>
        <w:rPr>
          <w:rFonts w:ascii="楷体" w:hAnsi="楷体" w:eastAsia="楷体" w:cs="Arial"/>
          <w:color w:val="auto"/>
          <w:sz w:val="24"/>
        </w:rPr>
      </w:pPr>
      <w:r>
        <w:rPr>
          <w:rFonts w:ascii="楷体" w:hAnsi="楷体" w:eastAsia="楷体" w:cs="Arial"/>
          <w:color w:val="auto"/>
          <w:sz w:val="24"/>
        </w:rPr>
        <w:t>1.甲方指派</w:t>
      </w:r>
      <w:r>
        <w:rPr>
          <w:rFonts w:ascii="楷体" w:hAnsi="楷体" w:eastAsia="楷体" w:cs="Arial"/>
          <w:color w:val="auto"/>
          <w:sz w:val="24"/>
          <w:u w:val="single"/>
        </w:rPr>
        <w:t xml:space="preserve">       </w:t>
      </w:r>
      <w:r>
        <w:rPr>
          <w:rFonts w:ascii="楷体" w:hAnsi="楷体" w:eastAsia="楷体" w:cs="Arial"/>
          <w:color w:val="auto"/>
          <w:sz w:val="24"/>
        </w:rPr>
        <w:t>作为联络人，负责与乙方联络并协助乙方工作</w:t>
      </w:r>
      <w:r>
        <w:rPr>
          <w:rFonts w:hint="eastAsia" w:ascii="楷体" w:hAnsi="楷体" w:eastAsia="楷体" w:cs="Arial"/>
          <w:color w:val="auto"/>
          <w:sz w:val="24"/>
        </w:rPr>
        <w:t>，指定联系邮箱为：</w:t>
      </w:r>
      <w:r>
        <w:rPr>
          <w:rFonts w:hint="eastAsia" w:ascii="楷体" w:hAnsi="楷体" w:eastAsia="楷体" w:cs="Arial"/>
          <w:color w:val="auto"/>
          <w:sz w:val="24"/>
          <w:u w:val="single"/>
        </w:rPr>
        <w:t xml:space="preserve">                    </w:t>
      </w:r>
      <w:r>
        <w:rPr>
          <w:rFonts w:ascii="楷体" w:hAnsi="楷体" w:eastAsia="楷体" w:cs="Arial"/>
          <w:color w:val="auto"/>
          <w:sz w:val="24"/>
        </w:rPr>
        <w:t>；</w:t>
      </w:r>
      <w:r>
        <w:rPr>
          <w:rFonts w:hint="eastAsia" w:ascii="楷体" w:hAnsi="楷体" w:eastAsia="楷体" w:cs="Arial"/>
          <w:color w:val="auto"/>
          <w:sz w:val="24"/>
        </w:rPr>
        <w:t>在确定中标方</w:t>
      </w:r>
      <w:r>
        <w:rPr>
          <w:rFonts w:ascii="楷体" w:hAnsi="楷体" w:eastAsia="楷体" w:cs="Arial"/>
          <w:color w:val="auto"/>
          <w:sz w:val="24"/>
        </w:rPr>
        <w:t>后，将乙方监理人员的姓名及监理权限书面通知中标方。</w:t>
      </w:r>
    </w:p>
    <w:p w14:paraId="21D826EE">
      <w:pPr>
        <w:widowControl/>
        <w:wordWrap w:val="0"/>
        <w:spacing w:before="156" w:beforeLines="50" w:after="156" w:afterLines="50" w:line="360" w:lineRule="auto"/>
        <w:ind w:firstLine="480" w:firstLineChars="200"/>
        <w:rPr>
          <w:rFonts w:hint="eastAsia" w:ascii="楷体" w:hAnsi="楷体" w:eastAsia="楷体" w:cs="Arial"/>
          <w:color w:val="auto"/>
          <w:sz w:val="24"/>
        </w:rPr>
      </w:pPr>
      <w:r>
        <w:rPr>
          <w:rFonts w:ascii="楷体" w:hAnsi="楷体" w:eastAsia="楷体" w:cs="Arial"/>
          <w:color w:val="auto"/>
          <w:sz w:val="24"/>
        </w:rPr>
        <w:t>2</w:t>
      </w:r>
      <w:r>
        <w:rPr>
          <w:rFonts w:hint="eastAsia" w:ascii="楷体" w:hAnsi="楷体" w:eastAsia="楷体" w:cs="Arial"/>
          <w:color w:val="auto"/>
          <w:sz w:val="24"/>
        </w:rPr>
        <w:t>.</w:t>
      </w:r>
      <w:r>
        <w:rPr>
          <w:rFonts w:ascii="楷体" w:hAnsi="楷体" w:eastAsia="楷体" w:cs="Arial"/>
          <w:color w:val="auto"/>
          <w:sz w:val="24"/>
        </w:rPr>
        <w:t xml:space="preserve"> 抽样方案确认人</w:t>
      </w:r>
      <w:r>
        <w:rPr>
          <w:rFonts w:hint="eastAsia" w:ascii="楷体" w:hAnsi="楷体" w:eastAsia="楷体" w:cs="Arial"/>
          <w:color w:val="auto"/>
          <w:sz w:val="24"/>
        </w:rPr>
        <w:t>、供应商品质异常的联系人为□同联络人；其他人：姓名</w:t>
      </w:r>
      <w:r>
        <w:rPr>
          <w:rFonts w:hint="eastAsia" w:ascii="楷体" w:hAnsi="楷体" w:eastAsia="楷体" w:cs="Arial"/>
          <w:color w:val="auto"/>
          <w:sz w:val="24"/>
          <w:u w:val="single"/>
        </w:rPr>
        <w:t xml:space="preserve"> </w:t>
      </w:r>
      <w:r>
        <w:rPr>
          <w:rFonts w:ascii="楷体" w:hAnsi="楷体" w:eastAsia="楷体" w:cs="Arial"/>
          <w:color w:val="auto"/>
          <w:sz w:val="24"/>
          <w:u w:val="single"/>
        </w:rPr>
        <w:t xml:space="preserve">               </w:t>
      </w:r>
      <w:r>
        <w:rPr>
          <w:rFonts w:hint="eastAsia" w:ascii="楷体" w:hAnsi="楷体" w:eastAsia="楷体" w:cs="Arial"/>
          <w:color w:val="auto"/>
          <w:sz w:val="24"/>
        </w:rPr>
        <w:t>，联系电话：</w:t>
      </w:r>
      <w:r>
        <w:rPr>
          <w:rFonts w:hint="eastAsia" w:ascii="楷体" w:hAnsi="楷体" w:eastAsia="楷体" w:cs="Arial"/>
          <w:color w:val="auto"/>
          <w:sz w:val="24"/>
          <w:u w:val="single"/>
        </w:rPr>
        <w:t xml:space="preserve"> </w:t>
      </w:r>
      <w:r>
        <w:rPr>
          <w:rFonts w:ascii="楷体" w:hAnsi="楷体" w:eastAsia="楷体" w:cs="Arial"/>
          <w:color w:val="auto"/>
          <w:sz w:val="24"/>
          <w:u w:val="single"/>
        </w:rPr>
        <w:t xml:space="preserve">                         </w:t>
      </w:r>
      <w:r>
        <w:rPr>
          <w:rFonts w:hint="eastAsia" w:ascii="楷体" w:hAnsi="楷体" w:eastAsia="楷体" w:cs="Arial"/>
          <w:color w:val="auto"/>
          <w:sz w:val="24"/>
        </w:rPr>
        <w:t>；指定联系邮箱：</w:t>
      </w:r>
      <w:r>
        <w:rPr>
          <w:rFonts w:hint="eastAsia" w:ascii="楷体" w:hAnsi="楷体" w:eastAsia="楷体" w:cs="Arial"/>
          <w:color w:val="auto"/>
          <w:sz w:val="24"/>
          <w:u w:val="single"/>
        </w:rPr>
        <w:t xml:space="preserve"> </w:t>
      </w:r>
      <w:r>
        <w:rPr>
          <w:rFonts w:ascii="楷体" w:hAnsi="楷体" w:eastAsia="楷体" w:cs="Arial"/>
          <w:color w:val="auto"/>
          <w:sz w:val="24"/>
          <w:u w:val="single"/>
        </w:rPr>
        <w:t xml:space="preserve">                   </w:t>
      </w:r>
      <w:r>
        <w:rPr>
          <w:rFonts w:hint="eastAsia" w:ascii="楷体" w:hAnsi="楷体" w:eastAsia="楷体" w:cs="Arial"/>
          <w:color w:val="auto"/>
          <w:sz w:val="24"/>
        </w:rPr>
        <w:t>；</w:t>
      </w:r>
    </w:p>
    <w:p w14:paraId="4FDBB9FF">
      <w:pPr>
        <w:widowControl/>
        <w:wordWrap w:val="0"/>
        <w:spacing w:before="156" w:beforeLines="50" w:after="156" w:afterLines="50" w:line="360" w:lineRule="auto"/>
        <w:ind w:firstLine="480" w:firstLineChars="200"/>
        <w:rPr>
          <w:rFonts w:hint="eastAsia" w:ascii="楷体" w:hAnsi="楷体" w:eastAsia="楷体" w:cs="Arial"/>
          <w:color w:val="auto"/>
          <w:sz w:val="24"/>
        </w:rPr>
      </w:pPr>
      <w:r>
        <w:rPr>
          <w:rFonts w:hint="eastAsia" w:ascii="楷体" w:hAnsi="楷体" w:eastAsia="楷体" w:cs="Arial"/>
          <w:color w:val="auto"/>
          <w:sz w:val="24"/>
        </w:rPr>
        <w:t>3.</w:t>
      </w:r>
      <w:r>
        <w:rPr>
          <w:rFonts w:ascii="楷体" w:hAnsi="楷体" w:eastAsia="楷体" w:cs="Arial"/>
          <w:color w:val="auto"/>
          <w:sz w:val="24"/>
        </w:rPr>
        <w:t xml:space="preserve"> </w:t>
      </w:r>
      <w:r>
        <w:rPr>
          <w:rFonts w:hint="eastAsia" w:ascii="楷体" w:hAnsi="楷体" w:eastAsia="楷体" w:cs="Arial"/>
          <w:color w:val="auto"/>
          <w:sz w:val="24"/>
        </w:rPr>
        <w:t>如本项目涉及外协加工，则甲方指定的</w:t>
      </w:r>
      <w:r>
        <w:rPr>
          <w:rFonts w:ascii="楷体" w:hAnsi="楷体" w:eastAsia="楷体" w:cs="Arial"/>
          <w:color w:val="auto"/>
          <w:sz w:val="24"/>
        </w:rPr>
        <w:t>同意</w:t>
      </w:r>
      <w:r>
        <w:rPr>
          <w:rFonts w:hint="eastAsia" w:ascii="楷体" w:hAnsi="楷体" w:eastAsia="楷体" w:cs="Arial"/>
          <w:color w:val="auto"/>
          <w:sz w:val="24"/>
          <w:lang w:eastAsia="zh-CN"/>
        </w:rPr>
        <w:t>中标方</w:t>
      </w:r>
      <w:r>
        <w:rPr>
          <w:rFonts w:hint="eastAsia" w:ascii="楷体" w:hAnsi="楷体" w:eastAsia="楷体" w:cs="Arial"/>
          <w:color w:val="auto"/>
          <w:sz w:val="24"/>
        </w:rPr>
        <w:t>外协加工</w:t>
      </w:r>
      <w:r>
        <w:rPr>
          <w:rFonts w:ascii="楷体" w:hAnsi="楷体" w:eastAsia="楷体" w:cs="Arial"/>
          <w:color w:val="auto"/>
          <w:sz w:val="24"/>
        </w:rPr>
        <w:t>的确认人为</w:t>
      </w:r>
      <w:r>
        <w:rPr>
          <w:rFonts w:ascii="楷体" w:hAnsi="楷体" w:eastAsia="楷体" w:cs="Arial"/>
          <w:color w:val="auto"/>
          <w:sz w:val="24"/>
          <w:u w:val="single"/>
        </w:rPr>
        <w:t xml:space="preserve">：                </w:t>
      </w:r>
      <w:r>
        <w:rPr>
          <w:rFonts w:ascii="楷体" w:hAnsi="楷体" w:eastAsia="楷体" w:cs="Arial"/>
          <w:color w:val="auto"/>
          <w:sz w:val="24"/>
        </w:rPr>
        <w:t>联系方式</w:t>
      </w:r>
      <w:r>
        <w:rPr>
          <w:rFonts w:ascii="楷体" w:hAnsi="楷体" w:eastAsia="楷体" w:cs="Arial"/>
          <w:color w:val="auto"/>
          <w:sz w:val="24"/>
          <w:u w:val="single"/>
        </w:rPr>
        <w:t xml:space="preserve">：                  </w:t>
      </w:r>
      <w:r>
        <w:rPr>
          <w:rFonts w:ascii="楷体" w:hAnsi="楷体" w:eastAsia="楷体" w:cs="Arial"/>
          <w:color w:val="auto"/>
          <w:sz w:val="24"/>
        </w:rPr>
        <w:t>；指定联系邮箱：</w:t>
      </w:r>
      <w:r>
        <w:rPr>
          <w:rFonts w:ascii="楷体" w:hAnsi="楷体" w:eastAsia="楷体" w:cs="Arial"/>
          <w:color w:val="auto"/>
          <w:sz w:val="24"/>
          <w:u w:val="single"/>
        </w:rPr>
        <w:t xml:space="preserve">                         </w:t>
      </w:r>
    </w:p>
    <w:p w14:paraId="3F7DC3BC">
      <w:pPr>
        <w:wordWrap w:val="0"/>
        <w:spacing w:before="156" w:beforeLines="50" w:after="156" w:afterLines="50" w:line="360" w:lineRule="auto"/>
        <w:ind w:firstLine="495"/>
        <w:rPr>
          <w:rFonts w:hint="eastAsia" w:ascii="楷体" w:hAnsi="楷体" w:eastAsia="楷体" w:cs="Arial"/>
          <w:color w:val="auto"/>
          <w:sz w:val="24"/>
        </w:rPr>
      </w:pPr>
      <w:r>
        <w:rPr>
          <w:rFonts w:hint="eastAsia" w:ascii="楷体" w:hAnsi="楷体" w:eastAsia="楷体" w:cs="Arial"/>
          <w:color w:val="auto"/>
          <w:sz w:val="24"/>
        </w:rPr>
        <w:t>4</w:t>
      </w:r>
      <w:r>
        <w:rPr>
          <w:rFonts w:ascii="楷体" w:hAnsi="楷体" w:eastAsia="楷体" w:cs="Arial"/>
          <w:color w:val="auto"/>
          <w:sz w:val="24"/>
        </w:rPr>
        <w:t>. 甲方有权对乙方</w:t>
      </w:r>
      <w:r>
        <w:rPr>
          <w:rFonts w:hint="eastAsia" w:ascii="楷体" w:hAnsi="楷体" w:eastAsia="楷体" w:cs="Arial"/>
          <w:color w:val="auto"/>
          <w:sz w:val="24"/>
        </w:rPr>
        <w:t>提供</w:t>
      </w:r>
      <w:r>
        <w:rPr>
          <w:rFonts w:ascii="楷体" w:hAnsi="楷体" w:eastAsia="楷体" w:cs="Arial"/>
          <w:color w:val="auto"/>
          <w:sz w:val="24"/>
        </w:rPr>
        <w:t>的稿件、方案提出修改意见和建议，乙方如有异议可提出意见和建议，但最终以甲方的确定意见予以调整；</w:t>
      </w:r>
      <w:r>
        <w:rPr>
          <w:rFonts w:hint="eastAsia" w:ascii="楷体" w:hAnsi="楷体" w:eastAsia="楷体" w:cs="Arial"/>
          <w:color w:val="auto"/>
          <w:sz w:val="24"/>
        </w:rPr>
        <w:t>甲方应对其提出的修改意见、建议负责，因该修改意见、建议导致的质量缺陷、履约抽检不符合要求或其他情形的，乙方不承担责任，并有权在受到损失或承担责任后向甲方追偿。</w:t>
      </w:r>
    </w:p>
    <w:p w14:paraId="4EC7AF3A">
      <w:pPr>
        <w:wordWrap w:val="0"/>
        <w:spacing w:before="156" w:beforeLines="50" w:after="156" w:afterLines="50" w:line="360" w:lineRule="auto"/>
        <w:ind w:firstLine="495"/>
        <w:rPr>
          <w:rFonts w:ascii="楷体" w:hAnsi="楷体" w:eastAsia="楷体" w:cs="Arial"/>
          <w:color w:val="auto"/>
          <w:sz w:val="24"/>
        </w:rPr>
      </w:pPr>
      <w:r>
        <w:rPr>
          <w:rFonts w:hint="eastAsia" w:ascii="楷体" w:hAnsi="楷体" w:eastAsia="楷体" w:cs="Arial"/>
          <w:color w:val="auto"/>
          <w:sz w:val="24"/>
        </w:rPr>
        <w:t>5</w:t>
      </w:r>
      <w:r>
        <w:rPr>
          <w:rFonts w:ascii="楷体" w:hAnsi="楷体" w:eastAsia="楷体" w:cs="Arial"/>
          <w:color w:val="auto"/>
          <w:sz w:val="24"/>
        </w:rPr>
        <w:t>.在乙方提交文件后，甲方如有变更应及时完整的以书面形式作出反馈，以便乙方有足够时间完成工作，并在审定通过后及时给予书面确认；</w:t>
      </w:r>
    </w:p>
    <w:p w14:paraId="4403A7B7">
      <w:pPr>
        <w:wordWrap w:val="0"/>
        <w:spacing w:before="156" w:beforeLines="50" w:after="156" w:afterLines="50" w:line="360" w:lineRule="auto"/>
        <w:ind w:firstLine="495"/>
        <w:rPr>
          <w:rFonts w:hint="eastAsia" w:ascii="楷体" w:hAnsi="楷体" w:eastAsia="楷体" w:cs="Arial"/>
          <w:color w:val="auto"/>
          <w:sz w:val="24"/>
        </w:rPr>
      </w:pPr>
      <w:r>
        <w:rPr>
          <w:rFonts w:hint="eastAsia" w:ascii="楷体" w:hAnsi="楷体" w:eastAsia="楷体" w:cs="Arial"/>
          <w:color w:val="auto"/>
          <w:sz w:val="24"/>
        </w:rPr>
        <w:t>6</w:t>
      </w:r>
      <w:r>
        <w:rPr>
          <w:rFonts w:ascii="楷体" w:hAnsi="楷体" w:eastAsia="楷体" w:cs="Arial"/>
          <w:color w:val="auto"/>
          <w:sz w:val="24"/>
        </w:rPr>
        <w:t>.甲方如有重要会议或活动需要乙方工作人员参加时，需至少提前2日告知乙方，</w:t>
      </w:r>
      <w:r>
        <w:rPr>
          <w:rFonts w:hint="eastAsia" w:ascii="楷体" w:hAnsi="楷体" w:eastAsia="楷体" w:cs="Arial"/>
          <w:color w:val="auto"/>
          <w:sz w:val="24"/>
        </w:rPr>
        <w:t>双方就时间地点协商一致后确定会议事宜</w:t>
      </w:r>
      <w:r>
        <w:rPr>
          <w:rFonts w:ascii="楷体" w:hAnsi="楷体" w:eastAsia="楷体" w:cs="Arial"/>
          <w:color w:val="auto"/>
          <w:sz w:val="24"/>
        </w:rPr>
        <w:t>；</w:t>
      </w:r>
    </w:p>
    <w:p w14:paraId="39CFA254">
      <w:pPr>
        <w:wordWrap w:val="0"/>
        <w:spacing w:before="156" w:beforeLines="50" w:after="156" w:afterLines="50" w:line="360" w:lineRule="auto"/>
        <w:ind w:firstLine="495"/>
        <w:rPr>
          <w:rFonts w:ascii="楷体" w:hAnsi="楷体" w:eastAsia="楷体" w:cs="Arial"/>
          <w:color w:val="auto"/>
          <w:sz w:val="24"/>
        </w:rPr>
      </w:pPr>
      <w:r>
        <w:rPr>
          <w:rFonts w:hint="eastAsia" w:ascii="楷体" w:hAnsi="楷体" w:eastAsia="楷体" w:cs="Arial"/>
          <w:color w:val="auto"/>
          <w:sz w:val="24"/>
        </w:rPr>
        <w:t xml:space="preserve">7. </w:t>
      </w:r>
      <w:r>
        <w:rPr>
          <w:rFonts w:ascii="楷体" w:hAnsi="楷体" w:eastAsia="楷体" w:cs="Arial"/>
          <w:color w:val="auto"/>
          <w:sz w:val="24"/>
        </w:rPr>
        <w:t>保守双方的商业机密，未经对方同意，</w:t>
      </w:r>
      <w:r>
        <w:rPr>
          <w:rFonts w:hint="eastAsia" w:ascii="楷体" w:hAnsi="楷体" w:eastAsia="楷体" w:cs="Arial"/>
          <w:color w:val="auto"/>
          <w:sz w:val="24"/>
        </w:rPr>
        <w:t>任一方</w:t>
      </w:r>
      <w:r>
        <w:rPr>
          <w:rFonts w:ascii="楷体" w:hAnsi="楷体" w:eastAsia="楷体" w:cs="Arial"/>
          <w:color w:val="auto"/>
          <w:sz w:val="24"/>
        </w:rPr>
        <w:t>不得对外</w:t>
      </w:r>
      <w:r>
        <w:rPr>
          <w:rFonts w:hint="eastAsia" w:ascii="楷体" w:hAnsi="楷体" w:eastAsia="楷体" w:cs="Arial"/>
          <w:color w:val="auto"/>
          <w:sz w:val="24"/>
          <w:lang w:eastAsia="zh-CN"/>
        </w:rPr>
        <w:t>透露</w:t>
      </w:r>
      <w:r>
        <w:rPr>
          <w:rFonts w:ascii="楷体" w:hAnsi="楷体" w:eastAsia="楷体" w:cs="Arial"/>
          <w:color w:val="auto"/>
          <w:sz w:val="24"/>
        </w:rPr>
        <w:t>任何关于合同</w:t>
      </w:r>
      <w:r>
        <w:rPr>
          <w:rFonts w:hint="eastAsia" w:ascii="楷体" w:hAnsi="楷体" w:eastAsia="楷体" w:cs="Arial"/>
          <w:color w:val="auto"/>
          <w:sz w:val="24"/>
        </w:rPr>
        <w:t>履行及合同内容</w:t>
      </w:r>
      <w:r>
        <w:rPr>
          <w:rFonts w:ascii="楷体" w:hAnsi="楷体" w:eastAsia="楷体" w:cs="Arial"/>
          <w:color w:val="auto"/>
          <w:sz w:val="24"/>
        </w:rPr>
        <w:t>的</w:t>
      </w:r>
      <w:r>
        <w:rPr>
          <w:rFonts w:hint="eastAsia" w:ascii="楷体" w:hAnsi="楷体" w:eastAsia="楷体" w:cs="Arial"/>
          <w:color w:val="auto"/>
          <w:sz w:val="24"/>
        </w:rPr>
        <w:t>商业</w:t>
      </w:r>
      <w:r>
        <w:rPr>
          <w:rFonts w:ascii="楷体" w:hAnsi="楷体" w:eastAsia="楷体" w:cs="Arial"/>
          <w:color w:val="auto"/>
          <w:sz w:val="24"/>
        </w:rPr>
        <w:t>信息；</w:t>
      </w:r>
    </w:p>
    <w:p w14:paraId="6E18F191">
      <w:pPr>
        <w:wordWrap w:val="0"/>
        <w:spacing w:before="156" w:beforeLines="50" w:after="156" w:afterLines="50" w:line="360" w:lineRule="auto"/>
        <w:ind w:firstLine="495"/>
        <w:rPr>
          <w:rFonts w:hint="eastAsia" w:ascii="楷体" w:hAnsi="楷体" w:eastAsia="楷体" w:cs="Arial"/>
          <w:color w:val="auto"/>
          <w:sz w:val="24"/>
        </w:rPr>
      </w:pPr>
      <w:r>
        <w:rPr>
          <w:rFonts w:hint="eastAsia" w:ascii="楷体" w:hAnsi="楷体" w:eastAsia="楷体" w:cs="Arial"/>
          <w:color w:val="auto"/>
          <w:sz w:val="24"/>
        </w:rPr>
        <w:t>8</w:t>
      </w:r>
      <w:r>
        <w:rPr>
          <w:rFonts w:ascii="楷体" w:hAnsi="楷体" w:eastAsia="楷体" w:cs="Arial"/>
          <w:color w:val="auto"/>
          <w:sz w:val="24"/>
        </w:rPr>
        <w:t>．如遇特殊情况甲方</w:t>
      </w:r>
      <w:r>
        <w:rPr>
          <w:rFonts w:hint="eastAsia" w:ascii="楷体" w:hAnsi="楷体" w:eastAsia="楷体" w:cs="Arial"/>
          <w:color w:val="auto"/>
          <w:sz w:val="24"/>
          <w:lang w:eastAsia="zh-CN"/>
        </w:rPr>
        <w:t>需</w:t>
      </w:r>
      <w:r>
        <w:rPr>
          <w:rFonts w:ascii="楷体" w:hAnsi="楷体" w:eastAsia="楷体" w:cs="Arial"/>
          <w:color w:val="auto"/>
          <w:sz w:val="24"/>
        </w:rPr>
        <w:t>更换联系人</w:t>
      </w:r>
      <w:r>
        <w:rPr>
          <w:rFonts w:hint="eastAsia" w:ascii="楷体" w:hAnsi="楷体" w:eastAsia="楷体" w:cs="Arial"/>
          <w:color w:val="auto"/>
          <w:sz w:val="24"/>
        </w:rPr>
        <w:t>的</w:t>
      </w:r>
      <w:r>
        <w:rPr>
          <w:rFonts w:ascii="楷体" w:hAnsi="楷体" w:eastAsia="楷体" w:cs="Arial"/>
          <w:color w:val="auto"/>
          <w:sz w:val="24"/>
        </w:rPr>
        <w:t xml:space="preserve">，须以书面盖章形式通知乙方（信息包括指定姓名、联系邮箱、电话）。 </w:t>
      </w:r>
    </w:p>
    <w:p w14:paraId="3B7CDC82">
      <w:pPr>
        <w:wordWrap w:val="0"/>
        <w:spacing w:before="156" w:beforeLines="50" w:after="156" w:afterLines="50" w:line="360" w:lineRule="auto"/>
        <w:ind w:firstLine="360" w:firstLineChars="150"/>
        <w:rPr>
          <w:rFonts w:ascii="楷体" w:hAnsi="楷体" w:eastAsia="楷体" w:cs="Arial"/>
          <w:color w:val="auto"/>
          <w:sz w:val="24"/>
        </w:rPr>
      </w:pPr>
      <w:r>
        <w:rPr>
          <w:rFonts w:ascii="楷体" w:hAnsi="楷体" w:eastAsia="楷体" w:cs="Arial"/>
          <w:color w:val="auto"/>
          <w:sz w:val="24"/>
        </w:rPr>
        <w:t>（二）乙方的权利与义务</w:t>
      </w:r>
    </w:p>
    <w:p w14:paraId="67A6EA24">
      <w:pPr>
        <w:wordWrap w:val="0"/>
        <w:spacing w:before="156" w:beforeLines="50" w:after="156" w:afterLines="50" w:line="360" w:lineRule="auto"/>
        <w:ind w:firstLine="420" w:firstLineChars="175"/>
        <w:rPr>
          <w:rFonts w:hint="eastAsia" w:ascii="楷体" w:hAnsi="楷体" w:eastAsia="楷体" w:cs="Arial"/>
          <w:color w:val="auto"/>
          <w:sz w:val="24"/>
          <w:u w:val="single"/>
        </w:rPr>
      </w:pPr>
      <w:r>
        <w:rPr>
          <w:rFonts w:ascii="楷体" w:hAnsi="楷体" w:eastAsia="楷体" w:cs="Arial"/>
          <w:color w:val="auto"/>
          <w:sz w:val="24"/>
          <w:u w:val="single"/>
        </w:rPr>
        <w:t>1.</w:t>
      </w:r>
      <w:r>
        <w:rPr>
          <w:rFonts w:hint="eastAsia" w:ascii="楷体" w:hAnsi="楷体" w:eastAsia="楷体" w:cs="Arial"/>
          <w:color w:val="auto"/>
          <w:sz w:val="24"/>
          <w:u w:val="single"/>
        </w:rPr>
        <w:t xml:space="preserve"> 本项目负责人：本项目日常工作负责人指定为 </w:t>
      </w:r>
      <w:r>
        <w:rPr>
          <w:rFonts w:ascii="楷体" w:hAnsi="楷体" w:eastAsia="楷体" w:cs="Arial"/>
          <w:color w:val="auto"/>
          <w:sz w:val="24"/>
          <w:u w:val="single"/>
        </w:rPr>
        <w:t xml:space="preserve">              </w:t>
      </w:r>
      <w:r>
        <w:rPr>
          <w:rFonts w:hint="eastAsia" w:ascii="楷体" w:hAnsi="楷体" w:eastAsia="楷体" w:cs="Arial"/>
          <w:color w:val="auto"/>
          <w:sz w:val="24"/>
          <w:u w:val="single"/>
        </w:rPr>
        <w:t>（联系电话：   邮箱：  ）</w:t>
      </w:r>
      <w:r>
        <w:rPr>
          <w:rFonts w:ascii="楷体" w:hAnsi="楷体" w:eastAsia="楷体" w:cs="Arial"/>
          <w:color w:val="auto"/>
          <w:sz w:val="24"/>
          <w:u w:val="single"/>
        </w:rPr>
        <w:t xml:space="preserve"> ；</w:t>
      </w:r>
      <w:r>
        <w:rPr>
          <w:rFonts w:hint="eastAsia" w:ascii="楷体" w:hAnsi="楷体" w:eastAsia="楷体" w:cs="Arial"/>
          <w:color w:val="auto"/>
          <w:sz w:val="24"/>
          <w:u w:val="single"/>
        </w:rPr>
        <w:t>该员工主要职责为与甲方负责沟通，传递甲方需求、乙方技术人员出具的工作成果，以及跟进质量监理进度，不负责具体招标、技术咨询工作。</w:t>
      </w:r>
    </w:p>
    <w:p w14:paraId="55435C5A">
      <w:pPr>
        <w:wordWrap w:val="0"/>
        <w:spacing w:before="156" w:beforeLines="50" w:after="156" w:afterLines="50" w:line="360" w:lineRule="auto"/>
        <w:ind w:firstLine="480" w:firstLineChars="200"/>
        <w:rPr>
          <w:rFonts w:hint="eastAsia" w:ascii="楷体" w:hAnsi="楷体" w:eastAsia="楷体" w:cs="Arial"/>
          <w:color w:val="auto"/>
          <w:sz w:val="24"/>
          <w:u w:val="single"/>
        </w:rPr>
      </w:pPr>
      <w:r>
        <w:rPr>
          <w:rFonts w:hint="eastAsia" w:ascii="楷体" w:hAnsi="楷体" w:eastAsia="楷体" w:cs="Arial"/>
          <w:color w:val="auto"/>
          <w:sz w:val="24"/>
          <w:u w:val="single"/>
        </w:rPr>
        <w:t>2、本项目负责人：本项目技术负责人指定为</w:t>
      </w:r>
      <w:r>
        <w:rPr>
          <w:rFonts w:hint="eastAsia" w:ascii="楷体" w:hAnsi="楷体" w:eastAsia="楷体" w:cs="Arial"/>
          <w:color w:val="auto"/>
          <w:sz w:val="24"/>
          <w:u w:val="single"/>
          <w:lang w:val="en-US" w:eastAsia="zh-CN"/>
        </w:rPr>
        <w:t xml:space="preserve">        </w:t>
      </w:r>
      <w:r>
        <w:rPr>
          <w:rFonts w:hint="eastAsia" w:ascii="楷体" w:hAnsi="楷体" w:eastAsia="楷体" w:cs="Arial"/>
          <w:color w:val="auto"/>
          <w:sz w:val="24"/>
          <w:u w:val="single"/>
        </w:rPr>
        <w:t>（联系电话：</w:t>
      </w:r>
      <w:r>
        <w:rPr>
          <w:rFonts w:hint="eastAsia" w:ascii="楷体" w:hAnsi="楷体" w:eastAsia="楷体" w:cs="Arial"/>
          <w:color w:val="auto"/>
          <w:sz w:val="24"/>
          <w:u w:val="single"/>
          <w:lang w:val="en-US" w:eastAsia="zh-CN"/>
        </w:rPr>
        <w:t xml:space="preserve">      </w:t>
      </w:r>
      <w:r>
        <w:rPr>
          <w:rFonts w:hint="eastAsia" w:ascii="楷体" w:hAnsi="楷体" w:eastAsia="楷体" w:cs="Arial"/>
          <w:color w:val="auto"/>
          <w:sz w:val="24"/>
          <w:u w:val="single"/>
        </w:rPr>
        <w:t>，邮箱：</w:t>
      </w:r>
      <w:r>
        <w:rPr>
          <w:rFonts w:hint="eastAsia" w:ascii="楷体" w:hAnsi="楷体" w:eastAsia="楷体" w:cs="Arial"/>
          <w:color w:val="auto"/>
          <w:sz w:val="24"/>
          <w:u w:val="single"/>
          <w:lang w:val="en-US" w:eastAsia="zh-CN"/>
        </w:rPr>
        <w:t xml:space="preserve">      </w:t>
      </w:r>
      <w:r>
        <w:rPr>
          <w:rFonts w:hint="eastAsia" w:ascii="楷体" w:hAnsi="楷体" w:eastAsia="楷体" w:cs="Arial"/>
          <w:color w:val="auto"/>
          <w:sz w:val="24"/>
          <w:u w:val="single"/>
        </w:rPr>
        <w:t>），该员工负责本项目所有技术相关的咨询工作；本项目质量负责人指定为</w:t>
      </w:r>
      <w:r>
        <w:rPr>
          <w:rFonts w:hint="eastAsia" w:ascii="楷体" w:hAnsi="楷体" w:eastAsia="楷体" w:cs="Arial"/>
          <w:color w:val="auto"/>
          <w:sz w:val="24"/>
          <w:u w:val="single"/>
          <w:lang w:val="en-US" w:eastAsia="zh-CN"/>
        </w:rPr>
        <w:t xml:space="preserve">      </w:t>
      </w:r>
      <w:r>
        <w:rPr>
          <w:rFonts w:hint="eastAsia" w:ascii="楷体" w:hAnsi="楷体" w:eastAsia="楷体" w:cs="Arial"/>
          <w:color w:val="auto"/>
          <w:sz w:val="24"/>
          <w:u w:val="single"/>
        </w:rPr>
        <w:t>（联系电话：</w:t>
      </w:r>
      <w:r>
        <w:rPr>
          <w:rFonts w:hint="eastAsia" w:ascii="楷体" w:hAnsi="楷体" w:eastAsia="楷体" w:cs="Arial"/>
          <w:color w:val="auto"/>
          <w:sz w:val="24"/>
          <w:u w:val="single"/>
          <w:lang w:val="en-US" w:eastAsia="zh-CN"/>
        </w:rPr>
        <w:t xml:space="preserve">      </w:t>
      </w:r>
      <w:r>
        <w:rPr>
          <w:rFonts w:hint="eastAsia" w:ascii="楷体" w:hAnsi="楷体" w:eastAsia="楷体" w:cs="Arial"/>
          <w:color w:val="auto"/>
          <w:sz w:val="24"/>
          <w:u w:val="single"/>
        </w:rPr>
        <w:t>，邮箱：</w:t>
      </w:r>
      <w:r>
        <w:rPr>
          <w:rFonts w:hint="eastAsia" w:ascii="楷体" w:hAnsi="楷体" w:eastAsia="楷体" w:cs="Arial"/>
          <w:color w:val="auto"/>
          <w:sz w:val="24"/>
          <w:u w:val="single"/>
          <w:lang w:val="en-US" w:eastAsia="zh-CN"/>
        </w:rPr>
        <w:t xml:space="preserve">      </w:t>
      </w:r>
      <w:r>
        <w:rPr>
          <w:rFonts w:hint="eastAsia" w:ascii="楷体" w:hAnsi="楷体" w:eastAsia="楷体" w:cs="Arial"/>
          <w:color w:val="auto"/>
          <w:sz w:val="24"/>
          <w:u w:val="single"/>
        </w:rPr>
        <w:t>），该员工负责质量相关的咨询工作。</w:t>
      </w:r>
      <w:r>
        <w:rPr>
          <w:rFonts w:ascii="楷体" w:hAnsi="楷体" w:eastAsia="楷体" w:cs="Arial"/>
          <w:color w:val="auto"/>
          <w:sz w:val="24"/>
          <w:u w:val="single"/>
        </w:rPr>
        <w:t>由于</w:t>
      </w:r>
      <w:r>
        <w:rPr>
          <w:rFonts w:hint="eastAsia" w:ascii="楷体" w:hAnsi="楷体" w:eastAsia="楷体" w:cs="Arial"/>
          <w:color w:val="auto"/>
          <w:sz w:val="24"/>
          <w:u w:val="single"/>
        </w:rPr>
        <w:t>本项目采取不预先告知的方式进行抽样，如甲方要求提前查阅抽检内容，或查阅后对抽检内容提出修改，甲方须联系乙方指定负责人进行沟通。因此内容为机密，请勿发给乙方其他工作联系人。</w:t>
      </w:r>
    </w:p>
    <w:p w14:paraId="582FFC1E">
      <w:pPr>
        <w:wordWrap w:val="0"/>
        <w:spacing w:before="156" w:beforeLines="50" w:after="156" w:afterLines="50" w:line="360" w:lineRule="auto"/>
        <w:ind w:firstLine="480"/>
        <w:rPr>
          <w:rFonts w:ascii="楷体" w:hAnsi="楷体" w:eastAsia="楷体" w:cs="Arial"/>
          <w:color w:val="auto"/>
          <w:sz w:val="24"/>
        </w:rPr>
      </w:pPr>
      <w:r>
        <w:rPr>
          <w:rFonts w:hint="eastAsia" w:ascii="楷体" w:hAnsi="楷体" w:eastAsia="楷体" w:cs="Arial"/>
          <w:color w:val="auto"/>
          <w:sz w:val="24"/>
        </w:rPr>
        <w:t>3. 乙方在收到甲方预付款后,安排人员前往抽样，如甲方未按合同支付款项或甲方有其他违约情形，乙方有权拒绝抽样；</w:t>
      </w:r>
    </w:p>
    <w:p w14:paraId="623D4A74">
      <w:pPr>
        <w:wordWrap w:val="0"/>
        <w:spacing w:before="156" w:beforeLines="50" w:after="156" w:afterLines="50" w:line="360" w:lineRule="auto"/>
        <w:ind w:firstLine="480"/>
        <w:rPr>
          <w:rFonts w:ascii="楷体" w:hAnsi="楷体" w:eastAsia="楷体" w:cs="Arial"/>
          <w:color w:val="auto"/>
          <w:sz w:val="24"/>
        </w:rPr>
      </w:pPr>
      <w:r>
        <w:rPr>
          <w:rFonts w:hint="eastAsia" w:ascii="楷体" w:hAnsi="楷体" w:eastAsia="楷体" w:cs="Arial"/>
          <w:color w:val="auto"/>
          <w:sz w:val="24"/>
        </w:rPr>
        <w:t>4</w:t>
      </w:r>
      <w:r>
        <w:rPr>
          <w:rFonts w:ascii="楷体" w:hAnsi="楷体" w:eastAsia="楷体" w:cs="Arial"/>
          <w:color w:val="auto"/>
          <w:sz w:val="24"/>
        </w:rPr>
        <w:t>.</w:t>
      </w:r>
      <w:r>
        <w:rPr>
          <w:rFonts w:hint="eastAsia" w:ascii="楷体" w:hAnsi="楷体" w:eastAsia="楷体" w:cs="Arial"/>
          <w:color w:val="auto"/>
          <w:sz w:val="24"/>
        </w:rPr>
        <w:t xml:space="preserve"> 乙方</w:t>
      </w:r>
      <w:r>
        <w:rPr>
          <w:rFonts w:ascii="楷体" w:hAnsi="楷体" w:eastAsia="楷体" w:cs="Arial"/>
          <w:color w:val="auto"/>
          <w:sz w:val="24"/>
        </w:rPr>
        <w:t>按照双方审定的进度计划完成各项工作内容，保证质量，及时报告</w:t>
      </w:r>
      <w:r>
        <w:rPr>
          <w:rFonts w:hint="eastAsia" w:ascii="楷体" w:hAnsi="楷体" w:eastAsia="楷体" w:cs="Arial"/>
          <w:color w:val="auto"/>
          <w:sz w:val="24"/>
        </w:rPr>
        <w:t>；</w:t>
      </w:r>
    </w:p>
    <w:p w14:paraId="6F3C0615">
      <w:pPr>
        <w:wordWrap w:val="0"/>
        <w:spacing w:before="156" w:beforeLines="50" w:after="156" w:afterLines="50" w:line="360" w:lineRule="auto"/>
        <w:ind w:firstLine="480"/>
        <w:rPr>
          <w:rFonts w:hint="eastAsia" w:ascii="楷体" w:hAnsi="楷体" w:eastAsia="楷体" w:cs="Arial"/>
          <w:color w:val="auto"/>
          <w:sz w:val="24"/>
        </w:rPr>
      </w:pPr>
      <w:r>
        <w:rPr>
          <w:rFonts w:hint="eastAsia" w:ascii="楷体" w:hAnsi="楷体" w:eastAsia="楷体" w:cs="Arial"/>
          <w:color w:val="auto"/>
          <w:sz w:val="24"/>
        </w:rPr>
        <w:t>5</w:t>
      </w:r>
      <w:r>
        <w:rPr>
          <w:rFonts w:ascii="楷体" w:hAnsi="楷体" w:eastAsia="楷体" w:cs="Arial"/>
          <w:color w:val="auto"/>
          <w:sz w:val="24"/>
        </w:rPr>
        <w:t xml:space="preserve">. </w:t>
      </w:r>
      <w:r>
        <w:rPr>
          <w:rFonts w:hint="eastAsia" w:ascii="楷体" w:hAnsi="楷体" w:eastAsia="楷体" w:cs="Arial"/>
          <w:color w:val="auto"/>
          <w:sz w:val="24"/>
        </w:rPr>
        <w:t>乙方依据服务内容提供给甲方的文件，原则上均应加盖印章。</w:t>
      </w:r>
    </w:p>
    <w:p w14:paraId="12A3A629">
      <w:pPr>
        <w:wordWrap w:val="0"/>
        <w:spacing w:before="156" w:beforeLines="50" w:after="156" w:afterLines="50" w:line="360" w:lineRule="auto"/>
        <w:rPr>
          <w:rFonts w:ascii="楷体" w:hAnsi="楷体" w:eastAsia="楷体" w:cs="Arial"/>
          <w:b/>
          <w:bCs/>
          <w:color w:val="auto"/>
          <w:sz w:val="24"/>
        </w:rPr>
      </w:pPr>
      <w:r>
        <w:rPr>
          <w:rFonts w:hint="eastAsia" w:ascii="楷体" w:hAnsi="楷体" w:eastAsia="楷体" w:cs="Arial"/>
          <w:b/>
          <w:bCs/>
          <w:color w:val="auto"/>
          <w:sz w:val="24"/>
        </w:rPr>
        <w:t>五</w:t>
      </w:r>
      <w:r>
        <w:rPr>
          <w:rFonts w:ascii="楷体" w:hAnsi="楷体" w:eastAsia="楷体" w:cs="Arial"/>
          <w:b/>
          <w:bCs/>
          <w:color w:val="auto"/>
          <w:sz w:val="24"/>
        </w:rPr>
        <w:t>、知识产权和保密</w:t>
      </w:r>
    </w:p>
    <w:p w14:paraId="0DB93833">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双方均应保护对方的知识产权，未经对方同意，任一方不得</w:t>
      </w:r>
      <w:r>
        <w:rPr>
          <w:rFonts w:hint="eastAsia" w:ascii="楷体" w:hAnsi="楷体" w:eastAsia="楷体" w:cs="Arial"/>
          <w:color w:val="auto"/>
          <w:sz w:val="24"/>
        </w:rPr>
        <w:t>将</w:t>
      </w:r>
      <w:r>
        <w:rPr>
          <w:rFonts w:ascii="楷体" w:hAnsi="楷体" w:eastAsia="楷体" w:cs="Arial"/>
          <w:color w:val="auto"/>
          <w:sz w:val="24"/>
        </w:rPr>
        <w:t>对方的资料及文件擅自修改、复制或向第三人</w:t>
      </w:r>
      <w:r>
        <w:rPr>
          <w:rFonts w:hint="eastAsia" w:ascii="楷体" w:hAnsi="楷体" w:eastAsia="楷体" w:cs="Arial"/>
          <w:color w:val="auto"/>
          <w:sz w:val="24"/>
        </w:rPr>
        <w:t>（含参照企业会计准则确定的甲方关联方）</w:t>
      </w:r>
      <w:r>
        <w:rPr>
          <w:rFonts w:ascii="楷体" w:hAnsi="楷体" w:eastAsia="楷体" w:cs="Arial"/>
          <w:color w:val="auto"/>
          <w:sz w:val="24"/>
        </w:rPr>
        <w:t>转让或用于本合同项</w:t>
      </w:r>
      <w:r>
        <w:rPr>
          <w:rFonts w:hint="eastAsia" w:ascii="楷体" w:hAnsi="楷体" w:eastAsia="楷体" w:cs="Arial"/>
          <w:color w:val="auto"/>
          <w:sz w:val="24"/>
          <w:lang w:eastAsia="zh-CN"/>
        </w:rPr>
        <w:t>目以</w:t>
      </w:r>
      <w:r>
        <w:rPr>
          <w:rFonts w:ascii="楷体" w:hAnsi="楷体" w:eastAsia="楷体" w:cs="Arial"/>
          <w:color w:val="auto"/>
          <w:sz w:val="24"/>
        </w:rPr>
        <w:t>外的项目。如发生以上情况，泄密方承担由此引起的后果并承担</w:t>
      </w:r>
      <w:r>
        <w:rPr>
          <w:rFonts w:hint="eastAsia" w:ascii="楷体" w:hAnsi="楷体" w:eastAsia="楷体" w:cs="Arial"/>
          <w:color w:val="auto"/>
          <w:sz w:val="24"/>
        </w:rPr>
        <w:t>合同金额1%</w:t>
      </w:r>
      <w:r>
        <w:rPr>
          <w:rFonts w:ascii="楷体" w:hAnsi="楷体" w:eastAsia="楷体" w:cs="Arial"/>
          <w:color w:val="auto"/>
          <w:sz w:val="24"/>
        </w:rPr>
        <w:t>赔偿责任。</w:t>
      </w:r>
    </w:p>
    <w:p w14:paraId="24B4AF82">
      <w:pPr>
        <w:wordWrap w:val="0"/>
        <w:spacing w:before="156" w:beforeLines="50" w:after="156" w:afterLines="50" w:line="360" w:lineRule="auto"/>
        <w:rPr>
          <w:rFonts w:ascii="楷体" w:hAnsi="楷体" w:eastAsia="楷体" w:cs="Arial"/>
          <w:b/>
          <w:bCs/>
          <w:color w:val="auto"/>
          <w:sz w:val="24"/>
        </w:rPr>
      </w:pPr>
      <w:r>
        <w:rPr>
          <w:rFonts w:hint="eastAsia" w:ascii="楷体" w:hAnsi="楷体" w:eastAsia="楷体" w:cs="Arial"/>
          <w:b/>
          <w:bCs/>
          <w:color w:val="auto"/>
          <w:sz w:val="24"/>
        </w:rPr>
        <w:t>六</w:t>
      </w:r>
      <w:r>
        <w:rPr>
          <w:rFonts w:ascii="楷体" w:hAnsi="楷体" w:eastAsia="楷体" w:cs="Arial"/>
          <w:b/>
          <w:bCs/>
          <w:color w:val="auto"/>
          <w:sz w:val="24"/>
        </w:rPr>
        <w:t>、违约责任</w:t>
      </w:r>
    </w:p>
    <w:p w14:paraId="750AC3BC">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 xml:space="preserve">1. </w:t>
      </w:r>
      <w:r>
        <w:rPr>
          <w:rFonts w:hint="eastAsia" w:ascii="楷体" w:hAnsi="楷体" w:eastAsia="楷体" w:cs="Arial"/>
          <w:color w:val="auto"/>
          <w:sz w:val="24"/>
        </w:rPr>
        <w:t>双方</w:t>
      </w:r>
      <w:r>
        <w:rPr>
          <w:rFonts w:ascii="楷体" w:hAnsi="楷体" w:eastAsia="楷体" w:cs="Arial"/>
          <w:color w:val="auto"/>
          <w:sz w:val="24"/>
        </w:rPr>
        <w:t>应当</w:t>
      </w:r>
      <w:r>
        <w:rPr>
          <w:rFonts w:hint="eastAsia" w:ascii="楷体" w:hAnsi="楷体" w:eastAsia="楷体" w:cs="Arial"/>
          <w:color w:val="auto"/>
          <w:sz w:val="24"/>
        </w:rPr>
        <w:t>严格</w:t>
      </w:r>
      <w:r>
        <w:rPr>
          <w:rFonts w:ascii="楷体" w:hAnsi="楷体" w:eastAsia="楷体" w:cs="Arial"/>
          <w:color w:val="auto"/>
          <w:sz w:val="24"/>
        </w:rPr>
        <w:t>履行约定的义务。</w:t>
      </w:r>
    </w:p>
    <w:p w14:paraId="6CFB0995">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2．如因乙方过错造成甲方的经济损失，应当向甲方赔偿。</w:t>
      </w:r>
    </w:p>
    <w:p w14:paraId="3B58B453">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3. 当甲方发现乙方监理人员不按监理合同履行义务时，有权要求乙方更换监理人员</w:t>
      </w:r>
      <w:r>
        <w:rPr>
          <w:rFonts w:hint="eastAsia" w:ascii="楷体" w:hAnsi="楷体" w:eastAsia="楷体" w:cs="Arial"/>
          <w:color w:val="auto"/>
          <w:sz w:val="24"/>
        </w:rPr>
        <w:t>，乙方应对此进行查证，如经查实，应更换监理人员</w:t>
      </w:r>
      <w:r>
        <w:rPr>
          <w:rFonts w:ascii="楷体" w:hAnsi="楷体" w:eastAsia="楷体" w:cs="Arial"/>
          <w:color w:val="auto"/>
          <w:sz w:val="24"/>
        </w:rPr>
        <w:t>。</w:t>
      </w:r>
    </w:p>
    <w:p w14:paraId="02699836">
      <w:pPr>
        <w:widowControl/>
        <w:wordWrap w:val="0"/>
        <w:spacing w:before="156" w:beforeLines="50" w:after="156" w:afterLines="50" w:line="360" w:lineRule="auto"/>
        <w:ind w:firstLine="480"/>
        <w:rPr>
          <w:rFonts w:hint="eastAsia" w:ascii="楷体" w:hAnsi="楷体" w:eastAsia="楷体" w:cs="Arial"/>
          <w:color w:val="auto"/>
          <w:kern w:val="0"/>
          <w:sz w:val="24"/>
        </w:rPr>
      </w:pPr>
      <w:r>
        <w:rPr>
          <w:rFonts w:ascii="楷体" w:hAnsi="楷体" w:eastAsia="楷体" w:cs="Arial"/>
          <w:color w:val="auto"/>
          <w:kern w:val="0"/>
          <w:sz w:val="24"/>
        </w:rPr>
        <w:t>4. 甲方变更委托监理项目、规模、条件或因提交的资料错误，或所提交资料作较大修改，以致乙方监理期变更，双方除</w:t>
      </w:r>
      <w:r>
        <w:rPr>
          <w:rFonts w:hint="eastAsia" w:ascii="楷体" w:hAnsi="楷体" w:eastAsia="楷体" w:cs="Arial"/>
          <w:color w:val="auto"/>
          <w:kern w:val="0"/>
          <w:sz w:val="24"/>
        </w:rPr>
        <w:t>应</w:t>
      </w:r>
      <w:r>
        <w:rPr>
          <w:rFonts w:ascii="楷体" w:hAnsi="楷体" w:eastAsia="楷体" w:cs="Arial"/>
          <w:color w:val="auto"/>
          <w:kern w:val="0"/>
          <w:sz w:val="24"/>
        </w:rPr>
        <w:t>另行协商签订</w:t>
      </w:r>
      <w:r>
        <w:rPr>
          <w:rFonts w:ascii="楷体" w:hAnsi="楷体" w:eastAsia="楷体" w:cs="Arial"/>
          <w:color w:val="auto"/>
          <w:kern w:val="0"/>
          <w:sz w:val="24"/>
        </w:rPr>
        <w:fldChar w:fldCharType="begin"/>
      </w:r>
      <w:r>
        <w:rPr>
          <w:rFonts w:ascii="楷体" w:hAnsi="楷体" w:eastAsia="楷体" w:cs="Arial"/>
          <w:color w:val="auto"/>
          <w:kern w:val="0"/>
          <w:sz w:val="24"/>
        </w:rPr>
        <w:instrText xml:space="preserve"> HYPERLINK "http://www.lawtime.cn/info/laodong/laodonghetongshu/2010042335367.html" \t "_blank" </w:instrText>
      </w:r>
      <w:r>
        <w:rPr>
          <w:rFonts w:ascii="楷体" w:hAnsi="楷体" w:eastAsia="楷体" w:cs="Arial"/>
          <w:color w:val="auto"/>
          <w:kern w:val="0"/>
          <w:sz w:val="24"/>
        </w:rPr>
        <w:fldChar w:fldCharType="separate"/>
      </w:r>
      <w:r>
        <w:rPr>
          <w:rFonts w:ascii="楷体" w:hAnsi="楷体" w:eastAsia="楷体" w:cs="Arial"/>
          <w:color w:val="auto"/>
          <w:kern w:val="0"/>
          <w:sz w:val="24"/>
        </w:rPr>
        <w:t>补充合同</w:t>
      </w:r>
      <w:r>
        <w:rPr>
          <w:rFonts w:ascii="楷体" w:hAnsi="楷体" w:eastAsia="楷体" w:cs="Arial"/>
          <w:color w:val="auto"/>
          <w:kern w:val="0"/>
          <w:sz w:val="24"/>
        </w:rPr>
        <w:fldChar w:fldCharType="end"/>
      </w:r>
      <w:r>
        <w:rPr>
          <w:rFonts w:ascii="楷体" w:hAnsi="楷体" w:eastAsia="楷体" w:cs="Arial"/>
          <w:color w:val="auto"/>
          <w:kern w:val="0"/>
          <w:sz w:val="24"/>
        </w:rPr>
        <w:t>、重新明确有关条款外，</w:t>
      </w:r>
      <w:r>
        <w:rPr>
          <w:rFonts w:hint="eastAsia" w:ascii="楷体" w:hAnsi="楷体" w:eastAsia="楷体" w:cs="Arial"/>
          <w:color w:val="auto"/>
          <w:kern w:val="0"/>
          <w:sz w:val="24"/>
        </w:rPr>
        <w:t>如果甲方做了大的变更或提交资料错误但不愿签署补充合同支付增加费用，乙方有权解除合同，已收取的费用不予退还，有权就已完成的工作要求甲方支付费用等。</w:t>
      </w:r>
    </w:p>
    <w:p w14:paraId="379FAC22">
      <w:pPr>
        <w:widowControl/>
        <w:wordWrap w:val="0"/>
        <w:spacing w:before="156" w:beforeLines="50" w:after="156" w:afterLines="50" w:line="360" w:lineRule="auto"/>
        <w:ind w:firstLine="480"/>
        <w:rPr>
          <w:rFonts w:hint="eastAsia" w:ascii="楷体" w:hAnsi="楷体" w:eastAsia="楷体" w:cs="Arial"/>
          <w:color w:val="auto"/>
          <w:kern w:val="0"/>
          <w:sz w:val="24"/>
        </w:rPr>
      </w:pPr>
      <w:r>
        <w:rPr>
          <w:rFonts w:hint="eastAsia" w:ascii="楷体" w:hAnsi="楷体" w:eastAsia="楷体" w:cs="Arial"/>
          <w:color w:val="auto"/>
          <w:kern w:val="0"/>
          <w:sz w:val="24"/>
        </w:rPr>
        <w:t>5</w:t>
      </w:r>
      <w:r>
        <w:rPr>
          <w:rFonts w:ascii="楷体" w:hAnsi="楷体" w:eastAsia="楷体" w:cs="Arial"/>
          <w:color w:val="auto"/>
          <w:kern w:val="0"/>
          <w:sz w:val="24"/>
        </w:rPr>
        <w:t xml:space="preserve">. </w:t>
      </w:r>
      <w:r>
        <w:rPr>
          <w:rFonts w:hint="eastAsia" w:ascii="楷体" w:hAnsi="楷体" w:eastAsia="楷体" w:cs="Arial"/>
          <w:color w:val="auto"/>
          <w:kern w:val="0"/>
          <w:sz w:val="24"/>
        </w:rPr>
        <w:t>甲方未按照本合同要求支付监理费用的，每逾期一日（自然日），应按照未支付款项的千分之五向乙方计付滞纳金；逾期超过2</w:t>
      </w:r>
      <w:r>
        <w:rPr>
          <w:rFonts w:ascii="楷体" w:hAnsi="楷体" w:eastAsia="楷体" w:cs="Arial"/>
          <w:color w:val="auto"/>
          <w:kern w:val="0"/>
          <w:sz w:val="24"/>
        </w:rPr>
        <w:t>0</w:t>
      </w:r>
      <w:r>
        <w:rPr>
          <w:rFonts w:hint="eastAsia" w:ascii="楷体" w:hAnsi="楷体" w:eastAsia="楷体" w:cs="Arial"/>
          <w:color w:val="auto"/>
          <w:kern w:val="0"/>
          <w:sz w:val="24"/>
        </w:rPr>
        <w:t>日的，乙方有权单方解除本合同，并要求甲方按合同总金额的1%支付违约金。</w:t>
      </w:r>
    </w:p>
    <w:p w14:paraId="12535B43">
      <w:pPr>
        <w:wordWrap w:val="0"/>
        <w:spacing w:before="156" w:beforeLines="50" w:after="156" w:afterLines="50" w:line="360" w:lineRule="auto"/>
        <w:ind w:firstLine="480" w:firstLineChars="200"/>
        <w:rPr>
          <w:rFonts w:ascii="楷体" w:hAnsi="楷体" w:eastAsia="楷体" w:cs="Arial"/>
          <w:color w:val="auto"/>
          <w:kern w:val="0"/>
          <w:sz w:val="24"/>
        </w:rPr>
      </w:pPr>
      <w:r>
        <w:rPr>
          <w:rFonts w:ascii="楷体" w:hAnsi="楷体" w:eastAsia="楷体" w:cs="Arial"/>
          <w:color w:val="auto"/>
          <w:kern w:val="0"/>
          <w:sz w:val="24"/>
        </w:rPr>
        <w:t>6. 在合同履行期间，甲方要求终止或解除</w:t>
      </w:r>
      <w:r>
        <w:rPr>
          <w:rFonts w:hint="eastAsia" w:ascii="楷体" w:hAnsi="楷体" w:eastAsia="楷体" w:cs="Arial"/>
          <w:color w:val="auto"/>
          <w:kern w:val="0"/>
          <w:sz w:val="24"/>
        </w:rPr>
        <w:t>合</w:t>
      </w:r>
      <w:r>
        <w:rPr>
          <w:rFonts w:ascii="楷体" w:hAnsi="楷体" w:eastAsia="楷体" w:cs="Arial"/>
          <w:color w:val="auto"/>
          <w:kern w:val="0"/>
          <w:sz w:val="24"/>
        </w:rPr>
        <w:t>同，应根据乙方已进行的实际工作量</w:t>
      </w:r>
      <w:r>
        <w:rPr>
          <w:rFonts w:hint="eastAsia" w:ascii="楷体" w:hAnsi="楷体" w:eastAsia="楷体" w:cs="Arial"/>
          <w:color w:val="auto"/>
          <w:kern w:val="0"/>
          <w:sz w:val="24"/>
        </w:rPr>
        <w:t>支付费用</w:t>
      </w:r>
      <w:r>
        <w:rPr>
          <w:rFonts w:ascii="楷体" w:hAnsi="楷体" w:eastAsia="楷体" w:cs="Arial"/>
          <w:color w:val="auto"/>
          <w:kern w:val="0"/>
          <w:sz w:val="24"/>
        </w:rPr>
        <w:t>，</w:t>
      </w:r>
      <w:r>
        <w:rPr>
          <w:rFonts w:hint="eastAsia" w:ascii="楷体" w:hAnsi="楷体" w:eastAsia="楷体" w:cs="Arial"/>
          <w:color w:val="auto"/>
          <w:kern w:val="0"/>
          <w:sz w:val="24"/>
        </w:rPr>
        <w:t>如乙方完成的工作</w:t>
      </w:r>
      <w:r>
        <w:rPr>
          <w:rFonts w:ascii="楷体" w:hAnsi="楷体" w:eastAsia="楷体" w:cs="Arial"/>
          <w:color w:val="auto"/>
          <w:kern w:val="0"/>
          <w:sz w:val="24"/>
        </w:rPr>
        <w:t>不足一半时，按该</w:t>
      </w:r>
      <w:r>
        <w:rPr>
          <w:rFonts w:hint="eastAsia" w:ascii="楷体" w:hAnsi="楷体" w:eastAsia="楷体" w:cs="Arial"/>
          <w:color w:val="auto"/>
          <w:kern w:val="0"/>
          <w:sz w:val="24"/>
        </w:rPr>
        <w:t>合同总金额</w:t>
      </w:r>
      <w:r>
        <w:rPr>
          <w:rFonts w:ascii="楷体" w:hAnsi="楷体" w:eastAsia="楷体" w:cs="Arial"/>
          <w:color w:val="auto"/>
          <w:kern w:val="0"/>
          <w:sz w:val="24"/>
        </w:rPr>
        <w:t>的一半支付；超过一半时，按该</w:t>
      </w:r>
      <w:r>
        <w:rPr>
          <w:rFonts w:hint="eastAsia" w:ascii="楷体" w:hAnsi="楷体" w:eastAsia="楷体" w:cs="Arial"/>
          <w:color w:val="auto"/>
          <w:kern w:val="0"/>
          <w:sz w:val="24"/>
        </w:rPr>
        <w:t>合同约定</w:t>
      </w:r>
      <w:r>
        <w:rPr>
          <w:rFonts w:ascii="楷体" w:hAnsi="楷体" w:eastAsia="楷体" w:cs="Arial"/>
          <w:color w:val="auto"/>
          <w:kern w:val="0"/>
          <w:sz w:val="24"/>
        </w:rPr>
        <w:t>监理费的全部支付。</w:t>
      </w:r>
    </w:p>
    <w:p w14:paraId="475EBAE5">
      <w:pPr>
        <w:wordWrap w:val="0"/>
        <w:spacing w:before="156" w:beforeLines="50" w:after="156" w:afterLines="50" w:line="360" w:lineRule="auto"/>
        <w:ind w:firstLine="480" w:firstLineChars="200"/>
        <w:rPr>
          <w:rFonts w:hint="eastAsia" w:ascii="楷体" w:hAnsi="楷体" w:eastAsia="楷体" w:cs="Arial"/>
          <w:color w:val="auto"/>
          <w:sz w:val="24"/>
        </w:rPr>
      </w:pPr>
      <w:r>
        <w:rPr>
          <w:rFonts w:hint="eastAsia" w:ascii="楷体" w:hAnsi="楷体" w:eastAsia="楷体" w:cs="Arial"/>
          <w:color w:val="auto"/>
          <w:kern w:val="0"/>
          <w:sz w:val="24"/>
        </w:rPr>
        <w:t>7</w:t>
      </w:r>
      <w:r>
        <w:rPr>
          <w:rFonts w:ascii="楷体" w:hAnsi="楷体" w:eastAsia="楷体" w:cs="Arial"/>
          <w:color w:val="auto"/>
          <w:kern w:val="0"/>
          <w:sz w:val="24"/>
        </w:rPr>
        <w:t>.</w:t>
      </w:r>
      <w:r>
        <w:rPr>
          <w:rFonts w:hint="eastAsia" w:ascii="楷体" w:hAnsi="楷体" w:eastAsia="楷体" w:cs="Arial"/>
          <w:color w:val="auto"/>
          <w:kern w:val="0"/>
          <w:sz w:val="24"/>
        </w:rPr>
        <w:t>本合同一方违约的，除应按合同约定承担责任外，还应承担守约方为实现权利所支出的必要费用（包括但不限于诉讼费、保全费、差旅费、律师费等）。</w:t>
      </w:r>
    </w:p>
    <w:p w14:paraId="0C4F041C">
      <w:pPr>
        <w:wordWrap w:val="0"/>
        <w:spacing w:before="156" w:beforeLines="50" w:after="156" w:afterLines="50" w:line="360" w:lineRule="auto"/>
        <w:rPr>
          <w:rFonts w:ascii="楷体" w:hAnsi="楷体" w:eastAsia="楷体" w:cs="Arial"/>
          <w:b/>
          <w:bCs/>
          <w:color w:val="auto"/>
          <w:sz w:val="24"/>
        </w:rPr>
      </w:pPr>
      <w:r>
        <w:rPr>
          <w:rFonts w:hint="eastAsia" w:ascii="楷体" w:hAnsi="楷体" w:eastAsia="楷体" w:cs="Arial"/>
          <w:b/>
          <w:bCs/>
          <w:color w:val="auto"/>
          <w:sz w:val="24"/>
        </w:rPr>
        <w:t>七</w:t>
      </w:r>
      <w:r>
        <w:rPr>
          <w:rFonts w:ascii="楷体" w:hAnsi="楷体" w:eastAsia="楷体" w:cs="Arial"/>
          <w:b/>
          <w:bCs/>
          <w:color w:val="auto"/>
          <w:sz w:val="24"/>
        </w:rPr>
        <w:t>、免责条款</w:t>
      </w:r>
    </w:p>
    <w:p w14:paraId="7694CF3A">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本合同在执行过程中，若</w:t>
      </w:r>
      <w:r>
        <w:rPr>
          <w:rFonts w:hint="eastAsia" w:ascii="楷体" w:hAnsi="楷体" w:eastAsia="楷体" w:cs="Arial"/>
          <w:color w:val="auto"/>
          <w:sz w:val="24"/>
        </w:rPr>
        <w:t>因不能预见不能避免不能克服的事由</w:t>
      </w:r>
      <w:r>
        <w:rPr>
          <w:rFonts w:ascii="楷体" w:hAnsi="楷体" w:eastAsia="楷体" w:cs="Arial"/>
          <w:color w:val="auto"/>
          <w:sz w:val="24"/>
        </w:rPr>
        <w:t>，</w:t>
      </w:r>
      <w:r>
        <w:rPr>
          <w:rFonts w:hint="eastAsia" w:ascii="楷体" w:hAnsi="楷体" w:eastAsia="楷体" w:cs="宋体"/>
          <w:color w:val="auto"/>
          <w:sz w:val="24"/>
        </w:rPr>
        <w:t>如战争、地震、罢工、暴乱或疫情等突发事件，导致任何一方不能执行本协议中的部分或全部义务时，应及时通知另一方，双方可根据实际情况进行协商，以确认部分或全部免除其承担违约责任</w:t>
      </w:r>
      <w:r>
        <w:rPr>
          <w:rFonts w:ascii="楷体" w:hAnsi="楷体" w:eastAsia="楷体" w:cs="Arial"/>
          <w:color w:val="auto"/>
          <w:sz w:val="24"/>
        </w:rPr>
        <w:t>。</w:t>
      </w:r>
    </w:p>
    <w:p w14:paraId="41BBCD8D">
      <w:pPr>
        <w:wordWrap w:val="0"/>
        <w:spacing w:before="156" w:beforeLines="50" w:after="156" w:afterLines="50" w:line="360" w:lineRule="auto"/>
        <w:rPr>
          <w:rFonts w:ascii="楷体" w:hAnsi="楷体" w:eastAsia="楷体" w:cs="Arial"/>
          <w:b/>
          <w:color w:val="auto"/>
          <w:sz w:val="24"/>
        </w:rPr>
      </w:pPr>
      <w:r>
        <w:rPr>
          <w:rFonts w:hint="eastAsia" w:ascii="楷体" w:hAnsi="楷体" w:eastAsia="楷体" w:cs="Arial"/>
          <w:b/>
          <w:color w:val="auto"/>
          <w:sz w:val="24"/>
        </w:rPr>
        <w:t>八</w:t>
      </w:r>
      <w:r>
        <w:rPr>
          <w:rFonts w:ascii="楷体" w:hAnsi="楷体" w:eastAsia="楷体" w:cs="Arial"/>
          <w:b/>
          <w:color w:val="auto"/>
          <w:sz w:val="24"/>
        </w:rPr>
        <w:t>、其他条款</w:t>
      </w:r>
    </w:p>
    <w:p w14:paraId="1B14E98A">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1.本合同一式</w:t>
      </w:r>
      <w:r>
        <w:rPr>
          <w:rFonts w:hint="eastAsia" w:ascii="楷体" w:hAnsi="楷体" w:eastAsia="楷体" w:cs="Arial"/>
          <w:color w:val="auto"/>
          <w:sz w:val="24"/>
        </w:rPr>
        <w:t>肆</w:t>
      </w:r>
      <w:r>
        <w:rPr>
          <w:rFonts w:ascii="楷体" w:hAnsi="楷体" w:eastAsia="楷体" w:cs="Arial"/>
          <w:color w:val="auto"/>
          <w:sz w:val="24"/>
        </w:rPr>
        <w:t>份，甲方执</w:t>
      </w:r>
      <w:r>
        <w:rPr>
          <w:rFonts w:hint="eastAsia" w:ascii="楷体" w:hAnsi="楷体" w:eastAsia="楷体" w:cs="Arial"/>
          <w:color w:val="auto"/>
          <w:sz w:val="24"/>
        </w:rPr>
        <w:t>贰</w:t>
      </w:r>
      <w:r>
        <w:rPr>
          <w:rFonts w:ascii="楷体" w:hAnsi="楷体" w:eastAsia="楷体" w:cs="Arial"/>
          <w:color w:val="auto"/>
          <w:sz w:val="24"/>
        </w:rPr>
        <w:t>份</w:t>
      </w:r>
      <w:r>
        <w:rPr>
          <w:rFonts w:hint="eastAsia" w:ascii="楷体" w:hAnsi="楷体" w:eastAsia="楷体" w:cs="Arial"/>
          <w:color w:val="auto"/>
          <w:sz w:val="24"/>
        </w:rPr>
        <w:t>，</w:t>
      </w:r>
      <w:r>
        <w:rPr>
          <w:rFonts w:ascii="楷体" w:hAnsi="楷体" w:eastAsia="楷体" w:cs="Arial"/>
          <w:color w:val="auto"/>
          <w:sz w:val="24"/>
        </w:rPr>
        <w:t>乙方执贰</w:t>
      </w:r>
      <w:r>
        <w:rPr>
          <w:rFonts w:hint="eastAsia" w:ascii="楷体" w:hAnsi="楷体" w:eastAsia="楷体" w:cs="Arial"/>
          <w:color w:val="auto"/>
          <w:sz w:val="24"/>
        </w:rPr>
        <w:t>份，</w:t>
      </w:r>
      <w:r>
        <w:rPr>
          <w:rFonts w:ascii="楷体" w:hAnsi="楷体" w:eastAsia="楷体" w:cs="Arial"/>
          <w:color w:val="auto"/>
          <w:sz w:val="24"/>
        </w:rPr>
        <w:t>自甲乙双方盖章</w:t>
      </w:r>
      <w:r>
        <w:rPr>
          <w:rFonts w:hint="eastAsia" w:ascii="楷体" w:hAnsi="楷体" w:eastAsia="楷体" w:cs="Arial"/>
          <w:color w:val="auto"/>
          <w:sz w:val="24"/>
        </w:rPr>
        <w:t>（同时</w:t>
      </w:r>
      <w:r>
        <w:rPr>
          <w:rFonts w:ascii="楷体" w:hAnsi="楷体" w:eastAsia="楷体" w:cs="Arial"/>
          <w:color w:val="auto"/>
          <w:sz w:val="24"/>
        </w:rPr>
        <w:t>加盖单位公章或合同专用章及骑缝章</w:t>
      </w:r>
      <w:r>
        <w:rPr>
          <w:rFonts w:hint="eastAsia" w:ascii="楷体" w:hAnsi="楷体" w:eastAsia="楷体" w:cs="Arial"/>
          <w:color w:val="auto"/>
          <w:sz w:val="24"/>
        </w:rPr>
        <w:t>）</w:t>
      </w:r>
      <w:r>
        <w:rPr>
          <w:rFonts w:ascii="楷体" w:hAnsi="楷体" w:eastAsia="楷体" w:cs="Arial"/>
          <w:color w:val="auto"/>
          <w:sz w:val="24"/>
        </w:rPr>
        <w:t>之日起生效</w:t>
      </w:r>
      <w:r>
        <w:rPr>
          <w:rFonts w:hint="eastAsia" w:ascii="楷体" w:hAnsi="楷体" w:eastAsia="楷体" w:cs="Arial"/>
          <w:color w:val="auto"/>
          <w:sz w:val="24"/>
        </w:rPr>
        <w:t>，</w:t>
      </w:r>
      <w:r>
        <w:rPr>
          <w:rFonts w:ascii="楷体" w:hAnsi="楷体" w:eastAsia="楷体" w:cs="Arial"/>
          <w:color w:val="auto"/>
          <w:sz w:val="24"/>
        </w:rPr>
        <w:t>合同涂改无效。</w:t>
      </w:r>
    </w:p>
    <w:p w14:paraId="11964B6A">
      <w:pPr>
        <w:wordWrap w:val="0"/>
        <w:spacing w:before="156" w:beforeLines="50" w:after="156" w:afterLines="50" w:line="360" w:lineRule="auto"/>
        <w:ind w:firstLine="480" w:firstLineChars="200"/>
        <w:rPr>
          <w:rFonts w:ascii="楷体" w:hAnsi="楷体" w:eastAsia="楷体" w:cs="Arial"/>
          <w:color w:val="auto"/>
          <w:sz w:val="24"/>
        </w:rPr>
      </w:pPr>
      <w:r>
        <w:rPr>
          <w:rFonts w:ascii="楷体" w:hAnsi="楷体" w:eastAsia="楷体" w:cs="Arial"/>
          <w:color w:val="auto"/>
          <w:sz w:val="24"/>
        </w:rPr>
        <w:t>2</w:t>
      </w:r>
      <w:r>
        <w:rPr>
          <w:rFonts w:hint="eastAsia" w:ascii="楷体" w:hAnsi="楷体" w:eastAsia="楷体" w:cs="Arial"/>
          <w:color w:val="auto"/>
          <w:sz w:val="24"/>
        </w:rPr>
        <w:t>.本合同附件与合同具有同等法律效力。本合同有</w:t>
      </w:r>
      <w:r>
        <w:rPr>
          <w:rFonts w:hint="eastAsia" w:ascii="楷体" w:hAnsi="楷体" w:eastAsia="楷体" w:cs="Arial"/>
          <w:color w:val="auto"/>
          <w:sz w:val="24"/>
          <w:lang w:val="en-US" w:eastAsia="zh-CN"/>
        </w:rPr>
        <w:t>3</w:t>
      </w:r>
      <w:r>
        <w:rPr>
          <w:rFonts w:hint="eastAsia" w:ascii="楷体" w:hAnsi="楷体" w:eastAsia="楷体" w:cs="Arial"/>
          <w:color w:val="auto"/>
          <w:sz w:val="24"/>
        </w:rPr>
        <w:t>个附件（如下附件1、2</w:t>
      </w:r>
      <w:r>
        <w:rPr>
          <w:rFonts w:hint="eastAsia" w:ascii="楷体" w:hAnsi="楷体" w:eastAsia="楷体" w:cs="Arial"/>
          <w:color w:val="auto"/>
          <w:sz w:val="24"/>
          <w:lang w:eastAsia="zh-CN"/>
        </w:rPr>
        <w:t>、</w:t>
      </w:r>
      <w:r>
        <w:rPr>
          <w:rFonts w:hint="eastAsia" w:ascii="楷体" w:hAnsi="楷体" w:eastAsia="楷体" w:cs="Arial"/>
          <w:color w:val="auto"/>
          <w:sz w:val="24"/>
          <w:lang w:val="en-US" w:eastAsia="zh-CN"/>
        </w:rPr>
        <w:t>3</w:t>
      </w:r>
      <w:r>
        <w:rPr>
          <w:rFonts w:hint="eastAsia" w:ascii="楷体" w:hAnsi="楷体" w:eastAsia="楷体" w:cs="Arial"/>
          <w:color w:val="auto"/>
          <w:sz w:val="24"/>
        </w:rPr>
        <w:t>）。如附件与合同正文有冲突，以附件内容为准。</w:t>
      </w:r>
    </w:p>
    <w:p w14:paraId="254B7331">
      <w:pPr>
        <w:wordWrap w:val="0"/>
        <w:spacing w:before="156" w:beforeLines="50" w:after="156" w:afterLines="50" w:line="360" w:lineRule="auto"/>
        <w:ind w:firstLine="480" w:firstLineChars="200"/>
        <w:rPr>
          <w:rFonts w:ascii="楷体" w:hAnsi="楷体" w:eastAsia="楷体" w:cs="Arial"/>
          <w:color w:val="auto"/>
          <w:sz w:val="24"/>
        </w:rPr>
      </w:pPr>
      <w:r>
        <w:rPr>
          <w:rFonts w:hint="eastAsia" w:ascii="楷体" w:hAnsi="楷体" w:eastAsia="楷体" w:cs="Arial"/>
          <w:color w:val="auto"/>
          <w:sz w:val="24"/>
          <w:lang w:val="en-US" w:eastAsia="zh-CN"/>
        </w:rPr>
        <w:t>3</w:t>
      </w:r>
      <w:r>
        <w:rPr>
          <w:rFonts w:ascii="楷体" w:hAnsi="楷体" w:eastAsia="楷体" w:cs="Arial"/>
          <w:color w:val="auto"/>
          <w:sz w:val="24"/>
        </w:rPr>
        <w:t>.一切由执行本合同一起的或与本合同有关的争议，甲乙双方应通过友好协商解决，如不能解决时，应提交</w:t>
      </w:r>
      <w:r>
        <w:rPr>
          <w:rFonts w:hint="eastAsia" w:ascii="楷体" w:hAnsi="楷体" w:eastAsia="楷体" w:cs="Arial"/>
          <w:color w:val="auto"/>
          <w:sz w:val="24"/>
          <w:lang w:val="en-US" w:eastAsia="zh-CN"/>
        </w:rPr>
        <w:t>甲</w:t>
      </w:r>
      <w:r>
        <w:rPr>
          <w:rFonts w:hint="eastAsia" w:ascii="楷体" w:hAnsi="楷体" w:eastAsia="楷体" w:cs="Arial"/>
          <w:color w:val="auto"/>
          <w:sz w:val="24"/>
        </w:rPr>
        <w:t>方起诉地人民法院诉讼</w:t>
      </w:r>
      <w:r>
        <w:rPr>
          <w:rFonts w:ascii="楷体" w:hAnsi="楷体" w:eastAsia="楷体" w:cs="Arial"/>
          <w:color w:val="auto"/>
          <w:sz w:val="24"/>
        </w:rPr>
        <w:t>进行裁决。</w:t>
      </w:r>
    </w:p>
    <w:p w14:paraId="4CD2BE6C">
      <w:pPr>
        <w:wordWrap w:val="0"/>
        <w:spacing w:before="156" w:beforeLines="50" w:after="156" w:afterLines="50" w:line="360" w:lineRule="auto"/>
        <w:rPr>
          <w:rFonts w:ascii="楷体" w:hAnsi="楷体" w:eastAsia="楷体" w:cs="Arial"/>
          <w:b/>
          <w:bCs/>
          <w:color w:val="auto"/>
          <w:sz w:val="24"/>
        </w:rPr>
      </w:pPr>
      <w:r>
        <w:rPr>
          <w:rFonts w:ascii="楷体" w:hAnsi="楷体" w:eastAsia="楷体" w:cs="Arial"/>
          <w:b/>
          <w:bCs/>
          <w:color w:val="auto"/>
          <w:sz w:val="24"/>
        </w:rPr>
        <w:t>（</w:t>
      </w:r>
      <w:r>
        <w:rPr>
          <w:rFonts w:hint="eastAsia" w:ascii="楷体" w:hAnsi="楷体" w:eastAsia="楷体" w:cs="Arial"/>
          <w:b/>
          <w:bCs/>
          <w:color w:val="auto"/>
          <w:sz w:val="24"/>
        </w:rPr>
        <w:t>以下无正文，为《家具采购监理服务合同》签署页</w:t>
      </w:r>
      <w:r>
        <w:rPr>
          <w:rFonts w:ascii="楷体" w:hAnsi="楷体" w:eastAsia="楷体" w:cs="Arial"/>
          <w:b/>
          <w:bCs/>
          <w:color w:val="auto"/>
          <w:sz w:val="24"/>
        </w:rPr>
        <w:t>）</w:t>
      </w:r>
    </w:p>
    <w:p w14:paraId="528F68FC">
      <w:pPr>
        <w:spacing w:line="380" w:lineRule="exact"/>
        <w:rPr>
          <w:rFonts w:ascii="仿宋_GB2312" w:eastAsia="仿宋_GB2312"/>
          <w:sz w:val="28"/>
          <w:szCs w:val="28"/>
          <w:highlight w:val="none"/>
        </w:rPr>
      </w:pPr>
      <w:r>
        <w:rPr>
          <w:rFonts w:hint="eastAsia" w:ascii="仿宋_GB2312" w:eastAsia="仿宋_GB2312"/>
          <w:sz w:val="28"/>
          <w:szCs w:val="28"/>
          <w:highlight w:val="none"/>
        </w:rPr>
        <w:t>附件</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1、廉洁承诺书</w:t>
      </w:r>
    </w:p>
    <w:p w14:paraId="6EAA84C2">
      <w:pPr>
        <w:spacing w:line="420" w:lineRule="exact"/>
        <w:ind w:firstLine="700" w:firstLineChars="250"/>
        <w:rPr>
          <w:rFonts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、龙岗区进一步规范政商交往行为“十个不得”告知书</w:t>
      </w:r>
    </w:p>
    <w:p w14:paraId="30E1601B">
      <w:pPr>
        <w:spacing w:line="420" w:lineRule="exact"/>
        <w:ind w:firstLine="700" w:firstLineChars="250"/>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hAnsi="Calibri" w:eastAsia="仿宋_GB2312"/>
          <w:b w:val="0"/>
          <w:bCs w:val="0"/>
          <w:sz w:val="28"/>
          <w:szCs w:val="28"/>
          <w:highlight w:val="none"/>
        </w:rPr>
        <w:t>项目团队人员配置表</w:t>
      </w:r>
    </w:p>
    <w:p w14:paraId="43812E50">
      <w:pPr>
        <w:wordWrap w:val="0"/>
        <w:spacing w:line="360" w:lineRule="auto"/>
        <w:rPr>
          <w:rFonts w:hint="eastAsia" w:ascii="楷体" w:hAnsi="楷体" w:eastAsia="楷体" w:cs="Arial"/>
          <w:sz w:val="24"/>
        </w:rPr>
      </w:pPr>
    </w:p>
    <w:p w14:paraId="433DC30D">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p w14:paraId="42ADD31B">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（本页无正文，为合同签署页）</w:t>
      </w:r>
    </w:p>
    <w:p w14:paraId="22F76A87">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14:paraId="3D14F5FC">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3"/>
        <w:gridCol w:w="4757"/>
      </w:tblGrid>
      <w:tr w14:paraId="7B6F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4603" w:type="dxa"/>
            <w:tcBorders>
              <w:top w:val="single" w:color="auto" w:sz="4" w:space="0"/>
              <w:left w:val="single" w:color="auto" w:sz="4" w:space="0"/>
              <w:bottom w:val="single" w:color="auto" w:sz="4" w:space="0"/>
              <w:right w:val="single" w:color="auto" w:sz="4" w:space="0"/>
            </w:tcBorders>
            <w:shd w:val="clear" w:color="auto" w:fill="auto"/>
            <w:vAlign w:val="top"/>
          </w:tcPr>
          <w:p w14:paraId="11C372A3">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甲方（盖章并加盖骑缝章）：深圳市龙岗中心医院</w:t>
            </w:r>
          </w:p>
          <w:p w14:paraId="289394E8">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lang w:val="en-US" w:eastAsia="zh-CN" w:bidi="ar"/>
              </w:rPr>
              <w:t>法定代表人或授权代表：</w:t>
            </w:r>
            <w:r>
              <w:rPr>
                <w:rFonts w:hint="eastAsia" w:ascii="仿宋_GB2312" w:hAnsi="宋体" w:eastAsia="仿宋_GB2312" w:cs="仿宋_GB2312"/>
                <w:color w:val="auto"/>
                <w:kern w:val="2"/>
                <w:sz w:val="28"/>
                <w:szCs w:val="28"/>
                <w:u w:val="dotted"/>
                <w:lang w:val="en-US" w:eastAsia="zh-CN" w:bidi="ar"/>
              </w:rPr>
              <w:t xml:space="preserve">          </w:t>
            </w:r>
          </w:p>
          <w:p w14:paraId="422794E1">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u w:val="dotted"/>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 </w:t>
            </w:r>
          </w:p>
          <w:p w14:paraId="29D807E2">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地址：深圳市龙岗区龙岗大道6082号龙</w:t>
            </w:r>
            <w:r>
              <w:rPr>
                <w:rFonts w:hint="eastAsia" w:ascii="仿宋_GB2312" w:hAnsi="宋体" w:eastAsia="仿宋_GB2312" w:cs="仿宋_GB2312"/>
                <w:color w:val="auto"/>
                <w:kern w:val="2"/>
                <w:sz w:val="28"/>
                <w:szCs w:val="28"/>
                <w:lang w:val="en-US" w:eastAsia="zh-CN" w:bidi="ar"/>
              </w:rPr>
              <w:t>岗中心医院</w:t>
            </w:r>
          </w:p>
          <w:p w14:paraId="6877A24A">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电话：0755-84806933</w:t>
            </w:r>
          </w:p>
          <w:p w14:paraId="33E817F7">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开户行：深圳农村商业银行大和支行</w:t>
            </w:r>
          </w:p>
          <w:p w14:paraId="0ED34AF3">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账  号：000070583741</w:t>
            </w:r>
          </w:p>
          <w:p w14:paraId="0457AAB0">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统一社会信用代码：</w:t>
            </w:r>
            <w:r>
              <w:rPr>
                <w:rFonts w:hint="eastAsia" w:ascii="仿宋_GB2312" w:hAnsi="宋体" w:eastAsia="仿宋_GB2312" w:cs="仿宋_GB2312"/>
                <w:color w:val="auto"/>
                <w:kern w:val="2"/>
                <w:sz w:val="28"/>
                <w:szCs w:val="28"/>
                <w:lang w:val="en-US" w:eastAsia="zh-CN" w:bidi="ar"/>
              </w:rPr>
              <w:t>124403074558354773</w:t>
            </w:r>
          </w:p>
        </w:tc>
        <w:tc>
          <w:tcPr>
            <w:tcW w:w="4757" w:type="dxa"/>
            <w:tcBorders>
              <w:top w:val="single" w:color="auto" w:sz="4" w:space="0"/>
              <w:left w:val="nil"/>
              <w:bottom w:val="single" w:color="auto" w:sz="4" w:space="0"/>
              <w:right w:val="single" w:color="auto" w:sz="4" w:space="0"/>
            </w:tcBorders>
            <w:shd w:val="clear" w:color="auto" w:fill="auto"/>
            <w:vAlign w:val="top"/>
          </w:tcPr>
          <w:p w14:paraId="55707D12">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乙方（盖章并加盖骑缝章）：</w:t>
            </w:r>
            <w:r>
              <w:rPr>
                <w:rFonts w:hint="eastAsia" w:ascii="仿宋_GB2312" w:hAnsi="宋体" w:eastAsia="仿宋_GB2312" w:cs="Times New Roman"/>
                <w:b/>
                <w:bCs w:val="0"/>
                <w:color w:val="auto"/>
                <w:kern w:val="2"/>
                <w:sz w:val="28"/>
                <w:szCs w:val="28"/>
                <w:lang w:val="en-US" w:eastAsia="zh-CN" w:bidi="ar"/>
              </w:rPr>
              <w:t xml:space="preserve"> </w:t>
            </w:r>
            <w:r>
              <w:rPr>
                <w:rFonts w:hint="eastAsia" w:ascii="仿宋_GB2312" w:hAnsi="宋体" w:eastAsia="仿宋_GB2312" w:cs="仿宋_GB2312"/>
                <w:b/>
                <w:bCs w:val="0"/>
                <w:color w:val="auto"/>
                <w:kern w:val="2"/>
                <w:sz w:val="28"/>
                <w:szCs w:val="28"/>
                <w:lang w:val="en-US" w:eastAsia="zh-CN" w:bidi="ar"/>
              </w:rPr>
              <w:t xml:space="preserve">                 </w:t>
            </w:r>
          </w:p>
          <w:p w14:paraId="074DE540">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p>
          <w:p w14:paraId="73D6D22B">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lang w:val="en-US" w:eastAsia="zh-CN" w:bidi="ar"/>
              </w:rPr>
              <w:t>法定代表人或授权代表：</w:t>
            </w:r>
            <w:r>
              <w:rPr>
                <w:rFonts w:hint="eastAsia" w:ascii="仿宋_GB2312" w:hAnsi="宋体" w:eastAsia="仿宋_GB2312" w:cs="仿宋_GB2312"/>
                <w:color w:val="auto"/>
                <w:kern w:val="2"/>
                <w:sz w:val="28"/>
                <w:szCs w:val="28"/>
                <w:u w:val="dotted"/>
                <w:lang w:val="en-US" w:eastAsia="zh-CN" w:bidi="ar"/>
              </w:rPr>
              <w:t xml:space="preserve">          </w:t>
            </w:r>
          </w:p>
          <w:p w14:paraId="3236FED5">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u w:val="dotted"/>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                           </w:t>
            </w:r>
          </w:p>
          <w:p w14:paraId="3430AC1D">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 xml:space="preserve">地址：                               </w:t>
            </w:r>
          </w:p>
          <w:p w14:paraId="2AD5F386">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 xml:space="preserve">       </w:t>
            </w:r>
          </w:p>
          <w:p w14:paraId="752C9C8C">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电话：</w:t>
            </w:r>
          </w:p>
          <w:p w14:paraId="18549DBC">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开户行：</w:t>
            </w:r>
            <w:r>
              <w:rPr>
                <w:rFonts w:hint="eastAsia" w:ascii="仿宋_GB2312" w:hAnsi="宋体" w:eastAsia="仿宋_GB2312" w:cs="Times New Roman"/>
                <w:color w:val="auto"/>
                <w:kern w:val="2"/>
                <w:sz w:val="28"/>
                <w:szCs w:val="28"/>
                <w:lang w:val="en-US" w:eastAsia="zh-CN" w:bidi="ar"/>
              </w:rPr>
              <w:t xml:space="preserve"> </w:t>
            </w:r>
          </w:p>
          <w:p w14:paraId="7A4AB06F">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账  号：</w:t>
            </w:r>
            <w:r>
              <w:rPr>
                <w:rFonts w:hint="eastAsia" w:ascii="仿宋_GB2312" w:hAnsi="宋体" w:eastAsia="仿宋_GB2312" w:cs="Times New Roman"/>
                <w:color w:val="auto"/>
                <w:kern w:val="2"/>
                <w:sz w:val="28"/>
                <w:szCs w:val="28"/>
                <w:lang w:val="en-US" w:eastAsia="zh-CN" w:bidi="ar"/>
              </w:rPr>
              <w:t xml:space="preserve"> </w:t>
            </w:r>
          </w:p>
          <w:p w14:paraId="50C9BB81">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统一社会信用代码：</w:t>
            </w:r>
          </w:p>
        </w:tc>
      </w:tr>
    </w:tbl>
    <w:p w14:paraId="0F9F4844">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14:paraId="4DCD03A3">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签订日期：</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年</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月</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日</w:t>
      </w:r>
    </w:p>
    <w:p w14:paraId="7CCB28A0">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签约地址：深圳市龙岗中心医院</w:t>
      </w:r>
    </w:p>
    <w:p w14:paraId="14AE4EA9">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4"/>
          <w:szCs w:val="24"/>
        </w:rPr>
      </w:pPr>
      <w:r>
        <w:rPr>
          <w:rFonts w:hint="eastAsia" w:ascii="仿宋_GB2312" w:hAnsi="宋体" w:eastAsia="仿宋_GB2312" w:cs="Times New Roman"/>
          <w:color w:val="auto"/>
          <w:kern w:val="2"/>
          <w:sz w:val="24"/>
          <w:szCs w:val="24"/>
          <w:lang w:val="en-US" w:eastAsia="zh-CN" w:bidi="ar"/>
        </w:rPr>
        <w:br w:type="page"/>
      </w:r>
    </w:p>
    <w:p w14:paraId="4C41C4D3">
      <w:pPr>
        <w:spacing w:line="560" w:lineRule="exact"/>
        <w:ind w:firstLine="126" w:firstLineChars="45"/>
        <w:jc w:val="left"/>
        <w:rPr>
          <w:rFonts w:hint="eastAsia" w:ascii="仿宋_GB2312" w:hAnsi="宋体" w:eastAsia="仿宋_GB2312"/>
          <w:b/>
          <w:sz w:val="28"/>
          <w:highlight w:val="none"/>
        </w:rPr>
      </w:pPr>
      <w:r>
        <w:rPr>
          <w:rFonts w:hint="eastAsia" w:ascii="仿宋_GB2312" w:hAnsi="宋体" w:eastAsia="仿宋_GB2312"/>
          <w:b/>
          <w:sz w:val="28"/>
          <w:highlight w:val="none"/>
        </w:rPr>
        <w:t>附件1</w:t>
      </w:r>
    </w:p>
    <w:p w14:paraId="4AF16E98">
      <w:pPr>
        <w:spacing w:line="560" w:lineRule="exact"/>
        <w:rPr>
          <w:rFonts w:hint="eastAsia" w:ascii="仿宋_GB2312" w:eastAsia="仿宋_GB2312"/>
          <w:b/>
          <w:bCs/>
          <w:sz w:val="28"/>
          <w:szCs w:val="28"/>
          <w:highlight w:val="none"/>
        </w:rPr>
      </w:pPr>
    </w:p>
    <w:p w14:paraId="4A104934">
      <w:pPr>
        <w:jc w:val="center"/>
        <w:rPr>
          <w:rFonts w:hint="eastAsia" w:ascii="宋体" w:hAnsi="宋体"/>
          <w:b/>
          <w:bCs/>
          <w:sz w:val="36"/>
          <w:szCs w:val="36"/>
          <w:highlight w:val="none"/>
        </w:rPr>
      </w:pPr>
      <w:r>
        <w:rPr>
          <w:rFonts w:hint="eastAsia" w:ascii="宋体" w:hAnsi="宋体"/>
          <w:b/>
          <w:bCs/>
          <w:sz w:val="36"/>
          <w:szCs w:val="36"/>
          <w:highlight w:val="none"/>
        </w:rPr>
        <w:t>廉  洁  承  诺  书</w:t>
      </w:r>
    </w:p>
    <w:p w14:paraId="7E7726EB">
      <w:pPr>
        <w:spacing w:line="540" w:lineRule="exact"/>
        <w:rPr>
          <w:rFonts w:hint="eastAsia" w:ascii="仿宋_GB2312" w:eastAsia="仿宋_GB2312"/>
          <w:sz w:val="28"/>
          <w:szCs w:val="28"/>
          <w:highlight w:val="none"/>
        </w:rPr>
      </w:pPr>
      <w:r>
        <w:rPr>
          <w:rFonts w:hint="eastAsia" w:ascii="仿宋_GB2312" w:eastAsia="仿宋_GB2312"/>
          <w:sz w:val="28"/>
          <w:szCs w:val="28"/>
          <w:highlight w:val="none"/>
        </w:rPr>
        <w:t>甲方：深圳市龙岗中心医院</w:t>
      </w:r>
    </w:p>
    <w:p w14:paraId="462EE064">
      <w:pPr>
        <w:spacing w:line="400" w:lineRule="exact"/>
        <w:rPr>
          <w:rFonts w:hint="eastAsia" w:ascii="仿宋_GB2312" w:hAnsi="宋体" w:eastAsia="仿宋_GB2312"/>
          <w:bCs/>
          <w:sz w:val="28"/>
          <w:szCs w:val="28"/>
          <w:highlight w:val="none"/>
        </w:rPr>
      </w:pPr>
      <w:r>
        <w:rPr>
          <w:rFonts w:hint="eastAsia" w:ascii="仿宋_GB2312" w:eastAsia="仿宋_GB2312"/>
          <w:sz w:val="28"/>
          <w:szCs w:val="28"/>
          <w:highlight w:val="none"/>
        </w:rPr>
        <w:t>乙方：</w:t>
      </w:r>
      <w:r>
        <w:rPr>
          <w:rFonts w:hint="eastAsia" w:ascii="仿宋_GB2312" w:hAnsi="宋体" w:eastAsia="仿宋_GB2312"/>
          <w:bCs/>
          <w:sz w:val="28"/>
          <w:szCs w:val="28"/>
          <w:highlight w:val="none"/>
        </w:rPr>
        <w:t xml:space="preserve"> </w:t>
      </w:r>
    </w:p>
    <w:p w14:paraId="2C8C7FE6">
      <w:pPr>
        <w:spacing w:line="400" w:lineRule="exact"/>
        <w:rPr>
          <w:rFonts w:hint="eastAsia" w:ascii="仿宋_GB2312" w:hAnsi="宋体" w:eastAsia="仿宋_GB2312"/>
          <w:bCs/>
          <w:sz w:val="28"/>
          <w:szCs w:val="28"/>
          <w:highlight w:val="none"/>
        </w:rPr>
      </w:pPr>
    </w:p>
    <w:p w14:paraId="68389CAC">
      <w:pPr>
        <w:spacing w:line="40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69F6CF0A">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一、甲乙双方在合作过程中，自觉遵守国家法律、法规，按照《中华人民共和国反不正当竞争法》、《中华人民共和国招标投标法》、《关于禁止商业贿赂行为的暂行规定》、以及其他相关规定开展正常的商业交易活动。</w:t>
      </w:r>
    </w:p>
    <w:p w14:paraId="1D8F5935">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二、甲方工作人员应保持与乙方的正常工作交往，不得接受乙方的礼金、有价证券和贵重物品，不得在乙方报销任何应由个人支付的费用，不得以任何形式向乙方索要和收受回扣或变相收受贿赂。</w:t>
      </w:r>
    </w:p>
    <w:p w14:paraId="567E359F">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三、甲方工作人员不得参加可能对公正执行公务有影响的宴请和娱乐活动。</w:t>
      </w:r>
    </w:p>
    <w:p w14:paraId="3ECFD401">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四、甲方工作人员不得要求或者接收乙方为其住房装修、婚丧嫁娶、家属和子女的工作安排以及出国等提供方便。</w:t>
      </w:r>
    </w:p>
    <w:p w14:paraId="0A0D8757">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五、甲方工作人员不得向乙方介绍亲属或亲友从事与甲方工作有关的经济活动。</w:t>
      </w:r>
    </w:p>
    <w:p w14:paraId="518F200F">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六、乙方应当通过正常途径开展相关业务工作，不得为促进品种的销量或在零星工程的招投标等占便宜，而向甲方工作人员赠送礼金、有价证券、贵重物品及现金回扣等。</w:t>
      </w:r>
    </w:p>
    <w:p w14:paraId="04F29DCF">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七、乙方不得以洽谈业务、签订合同等为借口，邀请甲方工作人员外出旅游和进入营业性高消费娱乐场所。</w:t>
      </w:r>
    </w:p>
    <w:p w14:paraId="282E9B5E">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八、乙方不得为甲方单位或个人购置或者提供通信工具、交通工具、家电、高档办公用品等。</w:t>
      </w:r>
    </w:p>
    <w:p w14:paraId="0A3ECF56">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九、乙方如发现甲方工作人员有违反上述协议者，应向领导或者甲方上级主管单位举报。甲方不得以任何借口对乙方进行报复。</w:t>
      </w:r>
    </w:p>
    <w:p w14:paraId="3F4EAB0A">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十、如发现甲方工作人员违反上述协议者，一律交由医院纪检</w:t>
      </w:r>
      <w:r>
        <w:rPr>
          <w:rFonts w:hint="eastAsia" w:ascii="仿宋_GB2312" w:eastAsia="仿宋_GB2312"/>
          <w:sz w:val="28"/>
          <w:szCs w:val="28"/>
          <w:highlight w:val="none"/>
          <w:lang w:eastAsia="zh-CN"/>
        </w:rPr>
        <w:t>部门</w:t>
      </w:r>
      <w:r>
        <w:rPr>
          <w:rFonts w:hint="eastAsia" w:ascii="仿宋_GB2312" w:eastAsia="仿宋_GB2312"/>
          <w:sz w:val="28"/>
          <w:szCs w:val="28"/>
          <w:highlight w:val="none"/>
        </w:rPr>
        <w:t>处理。</w:t>
      </w:r>
    </w:p>
    <w:p w14:paraId="65674518">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十一、如发现乙方工作人员违反上述协议，甲方有权终止与乙方的所有业务往来。</w:t>
      </w:r>
    </w:p>
    <w:p w14:paraId="7BD3BB7D">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十二、甲乙双方监督单位为其上级主管部门。</w:t>
      </w:r>
    </w:p>
    <w:p w14:paraId="51501BF6">
      <w:pPr>
        <w:pStyle w:val="9"/>
        <w:adjustRightInd w:val="0"/>
        <w:snapToGrid w:val="0"/>
        <w:spacing w:line="540" w:lineRule="exact"/>
        <w:rPr>
          <w:rFonts w:hint="eastAsia" w:ascii="仿宋_GB2312" w:hAnsi="Times New Roman" w:eastAsia="仿宋_GB2312"/>
          <w:w w:val="100"/>
          <w:sz w:val="28"/>
          <w:szCs w:val="28"/>
          <w:highlight w:val="none"/>
        </w:rPr>
      </w:pPr>
      <w:r>
        <w:rPr>
          <w:rFonts w:hint="eastAsia" w:ascii="仿宋_GB2312" w:hAnsi="Times New Roman" w:eastAsia="仿宋_GB2312"/>
          <w:w w:val="100"/>
          <w:sz w:val="28"/>
          <w:szCs w:val="28"/>
          <w:highlight w:val="none"/>
        </w:rPr>
        <w:t>十三、本协议与合同具有同等法律效力。经双方签署后立即生效。</w:t>
      </w:r>
    </w:p>
    <w:p w14:paraId="578B026F">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十四、</w:t>
      </w:r>
      <w:r>
        <w:rPr>
          <w:rFonts w:hint="eastAsia" w:ascii="仿宋_GB2312" w:eastAsia="仿宋_GB2312"/>
          <w:spacing w:val="-2"/>
          <w:sz w:val="28"/>
          <w:szCs w:val="28"/>
          <w:highlight w:val="none"/>
        </w:rPr>
        <w:t>本协议的有效期为双方签署之日起至双方业务终止时止。</w:t>
      </w:r>
    </w:p>
    <w:p w14:paraId="1E174744">
      <w:pPr>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十五、本协议一式肆份，甲方持叁份，乙方持壹份。</w:t>
      </w:r>
    </w:p>
    <w:p w14:paraId="40F38E76">
      <w:pPr>
        <w:adjustRightInd w:val="0"/>
        <w:snapToGrid w:val="0"/>
        <w:spacing w:line="540" w:lineRule="exact"/>
        <w:ind w:firstLine="560" w:firstLineChars="200"/>
        <w:rPr>
          <w:rFonts w:hint="eastAsia" w:ascii="仿宋_GB2312" w:eastAsia="仿宋_GB2312"/>
          <w:sz w:val="28"/>
          <w:szCs w:val="28"/>
          <w:highlight w:val="none"/>
        </w:rPr>
      </w:pPr>
    </w:p>
    <w:p w14:paraId="40BE33BC">
      <w:pPr>
        <w:adjustRightInd w:val="0"/>
        <w:snapToGrid w:val="0"/>
        <w:spacing w:line="540" w:lineRule="exact"/>
        <w:ind w:firstLine="560" w:firstLineChars="200"/>
        <w:rPr>
          <w:rFonts w:hint="eastAsia" w:ascii="仿宋_GB2312" w:eastAsia="仿宋_GB2312"/>
          <w:sz w:val="28"/>
          <w:szCs w:val="28"/>
          <w:highlight w:val="none"/>
        </w:rPr>
      </w:pPr>
    </w:p>
    <w:p w14:paraId="37DDC98F">
      <w:pPr>
        <w:adjustRightInd w:val="0"/>
        <w:snapToGrid w:val="0"/>
        <w:spacing w:line="540" w:lineRule="exact"/>
        <w:ind w:firstLine="560" w:firstLineChars="200"/>
        <w:rPr>
          <w:rFonts w:hint="eastAsia" w:ascii="仿宋_GB2312" w:eastAsia="仿宋_GB2312"/>
          <w:sz w:val="28"/>
          <w:szCs w:val="28"/>
          <w:highlight w:val="none"/>
        </w:rPr>
      </w:pPr>
    </w:p>
    <w:p w14:paraId="6B0BC6C0">
      <w:pPr>
        <w:adjustRightInd w:val="0"/>
        <w:snapToGrid w:val="0"/>
        <w:spacing w:line="540" w:lineRule="exact"/>
        <w:rPr>
          <w:rFonts w:hint="eastAsia" w:ascii="仿宋_GB2312" w:hAnsi="宋体" w:eastAsia="仿宋_GB2312"/>
          <w:bCs/>
          <w:sz w:val="28"/>
          <w:szCs w:val="28"/>
          <w:highlight w:val="none"/>
        </w:rPr>
      </w:pPr>
      <w:r>
        <w:rPr>
          <w:rFonts w:hint="eastAsia" w:ascii="仿宋_GB2312" w:eastAsia="仿宋_GB2312"/>
          <w:sz w:val="28"/>
          <w:szCs w:val="28"/>
          <w:highlight w:val="none"/>
        </w:rPr>
        <w:t xml:space="preserve">甲方: 深圳市龙岗中心医院 </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   乙方:</w:t>
      </w:r>
      <w:r>
        <w:rPr>
          <w:rFonts w:hint="eastAsia" w:ascii="仿宋_GB2312" w:hAnsi="宋体" w:eastAsia="仿宋_GB2312"/>
          <w:bCs/>
          <w:sz w:val="28"/>
          <w:szCs w:val="28"/>
          <w:highlight w:val="none"/>
        </w:rPr>
        <w:t xml:space="preserve">  </w:t>
      </w:r>
    </w:p>
    <w:p w14:paraId="620AC287">
      <w:pPr>
        <w:spacing w:line="400" w:lineRule="exact"/>
        <w:ind w:left="4900" w:hanging="4900" w:hangingChars="1750"/>
        <w:rPr>
          <w:rFonts w:hint="eastAsia" w:ascii="仿宋_GB2312" w:hAnsi="宋体" w:eastAsia="仿宋_GB2312"/>
          <w:bCs/>
          <w:sz w:val="28"/>
          <w:szCs w:val="28"/>
          <w:highlight w:val="none"/>
        </w:rPr>
      </w:pPr>
    </w:p>
    <w:p w14:paraId="6052C614">
      <w:pPr>
        <w:spacing w:line="400" w:lineRule="exact"/>
        <w:ind w:left="245" w:leftChars="50" w:hanging="140" w:hangingChars="50"/>
        <w:rPr>
          <w:rFonts w:hint="eastAsia" w:ascii="仿宋_GB2312" w:eastAsia="仿宋_GB2312"/>
          <w:sz w:val="28"/>
          <w:szCs w:val="28"/>
          <w:highlight w:val="none"/>
        </w:rPr>
      </w:pPr>
      <w:r>
        <w:rPr>
          <w:rFonts w:hint="eastAsia" w:ascii="仿宋_GB2312" w:eastAsia="仿宋_GB2312"/>
          <w:sz w:val="28"/>
          <w:szCs w:val="28"/>
          <w:highlight w:val="none"/>
        </w:rPr>
        <w:t xml:space="preserve">代表或委托人（签字）：      </w:t>
      </w:r>
      <w:r>
        <w:rPr>
          <w:rFonts w:hint="eastAsia" w:ascii="仿宋_GB2312" w:eastAsia="仿宋_GB2312"/>
          <w:sz w:val="28"/>
          <w:szCs w:val="28"/>
          <w:highlight w:val="none"/>
          <w:lang w:eastAsia="zh-CN"/>
        </w:rPr>
        <w:t>法定代表人</w:t>
      </w:r>
      <w:r>
        <w:rPr>
          <w:rFonts w:hint="eastAsia" w:ascii="仿宋_GB2312" w:eastAsia="仿宋_GB2312"/>
          <w:sz w:val="28"/>
          <w:szCs w:val="28"/>
          <w:highlight w:val="none"/>
        </w:rPr>
        <w:t>或委托人（签字）：</w:t>
      </w:r>
    </w:p>
    <w:p w14:paraId="1108834A">
      <w:pPr>
        <w:tabs>
          <w:tab w:val="left" w:pos="4860"/>
        </w:tabs>
        <w:adjustRightInd w:val="0"/>
        <w:snapToGrid w:val="0"/>
        <w:spacing w:line="540" w:lineRule="exact"/>
        <w:ind w:firstLine="560" w:firstLineChars="200"/>
        <w:rPr>
          <w:rFonts w:hint="eastAsia" w:ascii="仿宋_GB2312" w:eastAsia="仿宋_GB2312"/>
          <w:sz w:val="28"/>
          <w:szCs w:val="28"/>
          <w:highlight w:val="none"/>
        </w:rPr>
      </w:pPr>
    </w:p>
    <w:p w14:paraId="2594231F">
      <w:pPr>
        <w:tabs>
          <w:tab w:val="left" w:pos="4860"/>
        </w:tabs>
        <w:adjustRightInd w:val="0"/>
        <w:snapToGrid w:val="0"/>
        <w:spacing w:line="540" w:lineRule="exact"/>
        <w:ind w:firstLine="560" w:firstLineChars="200"/>
        <w:rPr>
          <w:rFonts w:hint="eastAsia" w:ascii="仿宋_GB2312" w:eastAsia="仿宋_GB2312"/>
          <w:sz w:val="28"/>
          <w:szCs w:val="28"/>
          <w:highlight w:val="none"/>
        </w:rPr>
      </w:pPr>
    </w:p>
    <w:p w14:paraId="5213C629">
      <w:pPr>
        <w:tabs>
          <w:tab w:val="left" w:pos="4860"/>
        </w:tabs>
        <w:adjustRightInd w:val="0"/>
        <w:snapToGrid w:val="0"/>
        <w:spacing w:line="540" w:lineRule="exact"/>
        <w:ind w:firstLine="2240" w:firstLineChars="800"/>
        <w:rPr>
          <w:rFonts w:hint="eastAsia" w:ascii="仿宋_GB2312" w:eastAsia="仿宋_GB2312"/>
          <w:sz w:val="28"/>
          <w:szCs w:val="28"/>
          <w:highlight w:val="none"/>
        </w:rPr>
      </w:pPr>
      <w:r>
        <w:rPr>
          <w:rFonts w:hint="eastAsia" w:ascii="仿宋_GB2312" w:eastAsia="仿宋_GB2312"/>
          <w:sz w:val="28"/>
          <w:szCs w:val="28"/>
          <w:highlight w:val="none"/>
        </w:rPr>
        <w:t xml:space="preserve">签订日期：  年   月   日     </w:t>
      </w:r>
    </w:p>
    <w:p w14:paraId="37DBC69C">
      <w:pPr>
        <w:spacing w:line="320" w:lineRule="exact"/>
        <w:ind w:firstLine="573"/>
        <w:jc w:val="center"/>
        <w:rPr>
          <w:rFonts w:hint="eastAsia" w:ascii="仿宋_GB2312" w:hAnsi="宋体" w:eastAsia="仿宋_GB2312"/>
          <w:b/>
          <w:bCs/>
          <w:w w:val="90"/>
          <w:sz w:val="28"/>
          <w:szCs w:val="28"/>
          <w:highlight w:val="none"/>
        </w:rPr>
      </w:pPr>
    </w:p>
    <w:p w14:paraId="641D297E">
      <w:pPr>
        <w:spacing w:line="380" w:lineRule="exact"/>
        <w:rPr>
          <w:rFonts w:hint="eastAsia" w:ascii="仿宋_GB2312" w:hAnsi="宋体" w:eastAsia="仿宋_GB2312"/>
          <w:sz w:val="24"/>
          <w:highlight w:val="none"/>
        </w:rPr>
      </w:pPr>
    </w:p>
    <w:p w14:paraId="1F0733BB">
      <w:pPr>
        <w:spacing w:line="380" w:lineRule="exact"/>
        <w:rPr>
          <w:rFonts w:hint="eastAsia" w:ascii="仿宋_GB2312" w:hAnsi="宋体" w:eastAsia="仿宋_GB2312"/>
          <w:sz w:val="24"/>
          <w:highlight w:val="none"/>
        </w:rPr>
      </w:pPr>
    </w:p>
    <w:p w14:paraId="61A1B16F">
      <w:pPr>
        <w:spacing w:line="380" w:lineRule="exact"/>
        <w:rPr>
          <w:rFonts w:hint="eastAsia" w:ascii="仿宋_GB2312" w:hAnsi="宋体" w:eastAsia="仿宋_GB2312"/>
          <w:sz w:val="24"/>
          <w:highlight w:val="none"/>
        </w:rPr>
      </w:pPr>
    </w:p>
    <w:p w14:paraId="0EDB92C6">
      <w:pPr>
        <w:spacing w:line="380" w:lineRule="exact"/>
        <w:rPr>
          <w:rFonts w:ascii="仿宋_GB2312" w:hAnsi="宋体" w:eastAsia="仿宋_GB2312"/>
          <w:sz w:val="24"/>
          <w:highlight w:val="none"/>
        </w:rPr>
      </w:pPr>
    </w:p>
    <w:p w14:paraId="6E64AD2A">
      <w:pPr>
        <w:spacing w:line="380" w:lineRule="exact"/>
        <w:rPr>
          <w:rFonts w:ascii="仿宋_GB2312" w:hAnsi="宋体" w:eastAsia="仿宋_GB2312"/>
          <w:sz w:val="24"/>
          <w:highlight w:val="none"/>
        </w:rPr>
      </w:pPr>
    </w:p>
    <w:p w14:paraId="4231C0C7">
      <w:pPr>
        <w:spacing w:line="380" w:lineRule="exact"/>
        <w:rPr>
          <w:rFonts w:ascii="仿宋_GB2312" w:hAnsi="宋体" w:eastAsia="仿宋_GB2312"/>
          <w:sz w:val="24"/>
          <w:highlight w:val="none"/>
        </w:rPr>
      </w:pPr>
    </w:p>
    <w:p w14:paraId="6CB583F6">
      <w:pPr>
        <w:rPr>
          <w:rFonts w:hint="eastAsia" w:ascii="仿宋_GB2312" w:eastAsia="仿宋_GB2312"/>
          <w:b/>
          <w:bCs/>
          <w:sz w:val="28"/>
          <w:szCs w:val="28"/>
          <w:highlight w:val="none"/>
          <w:lang w:eastAsia="zh-CN"/>
        </w:rPr>
      </w:pPr>
      <w:r>
        <w:rPr>
          <w:rFonts w:hint="eastAsia" w:ascii="仿宋_GB2312" w:eastAsia="仿宋_GB2312"/>
          <w:b/>
          <w:bCs/>
          <w:sz w:val="28"/>
          <w:szCs w:val="28"/>
          <w:highlight w:val="none"/>
        </w:rPr>
        <w:t>附件</w:t>
      </w:r>
      <w:r>
        <w:rPr>
          <w:rFonts w:hint="eastAsia" w:ascii="仿宋_GB2312" w:eastAsia="仿宋_GB2312"/>
          <w:b/>
          <w:bCs/>
          <w:sz w:val="28"/>
          <w:szCs w:val="28"/>
          <w:highlight w:val="none"/>
          <w:lang w:val="en-US" w:eastAsia="zh-CN"/>
        </w:rPr>
        <w:t>2</w:t>
      </w:r>
    </w:p>
    <w:p w14:paraId="4F32E9C8">
      <w:pPr>
        <w:widowControl/>
        <w:spacing w:line="520" w:lineRule="exact"/>
        <w:jc w:val="center"/>
        <w:rPr>
          <w:rFonts w:ascii="方正小标宋简体" w:hAnsi="方正小标宋简体" w:eastAsia="方正小标宋简体" w:cs="方正小标宋简体"/>
          <w:color w:val="000000"/>
          <w:kern w:val="0"/>
          <w:sz w:val="36"/>
          <w:szCs w:val="36"/>
          <w:highlight w:val="none"/>
          <w:lang w:bidi="ar"/>
        </w:rPr>
      </w:pPr>
      <w:r>
        <w:rPr>
          <w:rFonts w:hint="eastAsia" w:ascii="方正小标宋简体" w:hAnsi="方正小标宋简体" w:eastAsia="方正小标宋简体" w:cs="方正小标宋简体"/>
          <w:color w:val="000000"/>
          <w:kern w:val="0"/>
          <w:sz w:val="36"/>
          <w:szCs w:val="36"/>
          <w:highlight w:val="none"/>
          <w:lang w:bidi="ar"/>
        </w:rPr>
        <w:t>龙岗区进一步规范政商交往行为“十个不得”告知书</w:t>
      </w:r>
    </w:p>
    <w:p w14:paraId="5B544549">
      <w:pPr>
        <w:widowControl/>
        <w:spacing w:line="520" w:lineRule="exact"/>
        <w:jc w:val="center"/>
        <w:rPr>
          <w:rFonts w:ascii="方正小标宋简体" w:hAnsi="方正小标宋简体" w:eastAsia="方正小标宋简体" w:cs="方正小标宋简体"/>
          <w:color w:val="000000"/>
          <w:kern w:val="0"/>
          <w:sz w:val="30"/>
          <w:szCs w:val="30"/>
          <w:highlight w:val="none"/>
          <w:lang w:bidi="ar"/>
        </w:rPr>
      </w:pPr>
      <w:r>
        <w:rPr>
          <w:rFonts w:hint="eastAsia" w:ascii="方正小标宋简体" w:hAnsi="方正小标宋简体" w:eastAsia="方正小标宋简体" w:cs="方正小标宋简体"/>
          <w:color w:val="000000"/>
          <w:kern w:val="0"/>
          <w:sz w:val="30"/>
          <w:szCs w:val="30"/>
          <w:highlight w:val="none"/>
          <w:lang w:bidi="ar"/>
        </w:rPr>
        <w:t>（2</w:t>
      </w:r>
      <w:r>
        <w:rPr>
          <w:rFonts w:ascii="方正小标宋简体" w:hAnsi="方正小标宋简体" w:eastAsia="方正小标宋简体" w:cs="方正小标宋简体"/>
          <w:color w:val="000000"/>
          <w:kern w:val="0"/>
          <w:sz w:val="30"/>
          <w:szCs w:val="30"/>
          <w:highlight w:val="none"/>
          <w:lang w:bidi="ar"/>
        </w:rPr>
        <w:t>02</w:t>
      </w:r>
      <w:r>
        <w:rPr>
          <w:rFonts w:hint="eastAsia" w:ascii="方正小标宋简体" w:hAnsi="方正小标宋简体" w:eastAsia="方正小标宋简体" w:cs="方正小标宋简体"/>
          <w:color w:val="000000"/>
          <w:kern w:val="0"/>
          <w:sz w:val="30"/>
          <w:szCs w:val="30"/>
          <w:highlight w:val="none"/>
          <w:lang w:val="en-US" w:eastAsia="zh-CN" w:bidi="ar"/>
        </w:rPr>
        <w:t>5</w:t>
      </w:r>
      <w:r>
        <w:rPr>
          <w:rFonts w:ascii="方正小标宋简体" w:hAnsi="方正小标宋简体" w:eastAsia="方正小标宋简体" w:cs="方正小标宋简体"/>
          <w:color w:val="000000"/>
          <w:kern w:val="0"/>
          <w:sz w:val="30"/>
          <w:szCs w:val="30"/>
          <w:highlight w:val="none"/>
          <w:lang w:bidi="ar"/>
        </w:rPr>
        <w:t>年</w:t>
      </w:r>
      <w:r>
        <w:rPr>
          <w:rFonts w:hint="eastAsia" w:ascii="方正小标宋简体" w:hAnsi="方正小标宋简体" w:eastAsia="方正小标宋简体" w:cs="方正小标宋简体"/>
          <w:color w:val="000000"/>
          <w:kern w:val="0"/>
          <w:sz w:val="30"/>
          <w:szCs w:val="30"/>
          <w:highlight w:val="none"/>
          <w:lang w:bidi="ar"/>
        </w:rPr>
        <w:t>）</w:t>
      </w:r>
    </w:p>
    <w:p w14:paraId="094F0D47">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为深入构建</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rPr>
        <w:t>亲</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rPr>
        <w:t>清</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156465E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一、不得向公职人员赠送礼品、礼金、消费卡等财物。</w:t>
      </w:r>
    </w:p>
    <w:p w14:paraId="382FC9F0">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二、不得违规向公职人员提供宴请、旅游、娱乐等安排。</w:t>
      </w:r>
    </w:p>
    <w:p w14:paraId="665566D7">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三、不得通过打麻将等形式向公职人员输送利益。</w:t>
      </w:r>
    </w:p>
    <w:p w14:paraId="0C906D93">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四、不得为公职人员报销应由其个人支付的费用。</w:t>
      </w:r>
    </w:p>
    <w:p w14:paraId="303A2C94">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五、不得违规向公职人员及其亲友借贷款。</w:t>
      </w:r>
    </w:p>
    <w:p w14:paraId="70FEE3B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六、不得违规将车辆、住房等借给公职人员使用。</w:t>
      </w:r>
    </w:p>
    <w:p w14:paraId="1E04A83D">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七、不得在招投标中与公职人员搞暗箱操作、围标串标。</w:t>
      </w:r>
    </w:p>
    <w:p w14:paraId="3B774901">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八、不得为利益相关人和公职人员牵线搭桥或者代为传递信息、传递财物。</w:t>
      </w:r>
    </w:p>
    <w:p w14:paraId="6D973113">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九、不得让公职人员在企业违规兼职取酬。</w:t>
      </w:r>
    </w:p>
    <w:p w14:paraId="4C56B6B2">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十、不得为公职人员亲友违规承揽业务提供便利。</w:t>
      </w:r>
    </w:p>
    <w:p w14:paraId="69458DAB">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6592B4AE">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_GB2312" w:hAnsi="Times New Roman" w:eastAsia="仿宋_GB2312" w:cs="Times New Roman"/>
          <w:sz w:val="28"/>
          <w:szCs w:val="28"/>
          <w:highlight w:val="none"/>
        </w:rPr>
      </w:pPr>
    </w:p>
    <w:p w14:paraId="7C2643D8">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ascii="仿宋_GB2312" w:hAnsi="宋体" w:eastAsia="仿宋_GB2312" w:cs="仿宋_GB2312"/>
          <w:color w:val="000000"/>
          <w:kern w:val="0"/>
          <w:sz w:val="31"/>
          <w:szCs w:val="31"/>
          <w:highlight w:val="none"/>
          <w:lang w:bidi="ar"/>
        </w:rPr>
      </w:pPr>
      <w:r>
        <w:rPr>
          <w:rFonts w:hint="eastAsia" w:ascii="仿宋_GB2312" w:hAnsi="Times New Roman" w:eastAsia="仿宋_GB2312" w:cs="Times New Roman"/>
          <w:sz w:val="28"/>
          <w:szCs w:val="28"/>
          <w:highlight w:val="none"/>
        </w:rPr>
        <w:t>本人已知晓上述告知内容，并愿意遵照执行（签名）：</w:t>
      </w:r>
    </w:p>
    <w:p w14:paraId="0DE568FC">
      <w:pPr>
        <w:widowControl/>
        <w:spacing w:line="460" w:lineRule="exact"/>
        <w:jc w:val="left"/>
        <w:rPr>
          <w:rFonts w:ascii="仿宋_GB2312" w:hAnsi="宋体" w:eastAsia="仿宋_GB2312" w:cs="仿宋_GB2312"/>
          <w:color w:val="000000"/>
          <w:kern w:val="0"/>
          <w:sz w:val="31"/>
          <w:szCs w:val="31"/>
          <w:highlight w:val="none"/>
          <w:lang w:bidi="ar"/>
        </w:rPr>
      </w:pPr>
      <w:r>
        <w:rPr>
          <w:rFonts w:ascii="仿宋_GB2312" w:hAnsi="宋体" w:eastAsia="仿宋_GB2312" w:cs="仿宋_GB2312"/>
          <w:color w:val="000000"/>
          <w:kern w:val="0"/>
          <w:sz w:val="31"/>
          <w:szCs w:val="31"/>
          <w:highlight w:val="none"/>
          <w:lang w:bidi="ar"/>
        </w:rPr>
        <w:t xml:space="preserve"> </w:t>
      </w:r>
    </w:p>
    <w:p w14:paraId="0D5D4AAB">
      <w:pPr>
        <w:widowControl/>
        <w:spacing w:line="460" w:lineRule="exact"/>
        <w:jc w:val="left"/>
        <w:rPr>
          <w:rFonts w:ascii="仿宋_GB2312" w:hAnsi="宋体" w:eastAsia="仿宋_GB2312" w:cs="仿宋_GB2312"/>
          <w:color w:val="000000"/>
          <w:kern w:val="0"/>
          <w:sz w:val="31"/>
          <w:szCs w:val="31"/>
          <w:highlight w:val="none"/>
          <w:lang w:bidi="ar"/>
        </w:rPr>
      </w:pPr>
    </w:p>
    <w:p w14:paraId="5ECA0903">
      <w:pPr>
        <w:widowControl/>
        <w:spacing w:line="460" w:lineRule="exact"/>
        <w:ind w:firstLine="5735" w:firstLineChars="1850"/>
        <w:jc w:val="left"/>
        <w:rPr>
          <w:rFonts w:hint="eastAsia" w:ascii="仿宋_GB2312" w:hAnsi="Times New Roman" w:eastAsia="仿宋_GB2312" w:cs="Times New Roman"/>
          <w:sz w:val="28"/>
          <w:szCs w:val="28"/>
          <w:highlight w:val="none"/>
        </w:rPr>
      </w:pPr>
      <w:r>
        <w:rPr>
          <w:rFonts w:hint="eastAsia" w:ascii="仿宋_GB2312" w:hAnsi="宋体" w:eastAsia="仿宋_GB2312" w:cs="仿宋_GB2312"/>
          <w:color w:val="000000"/>
          <w:kern w:val="0"/>
          <w:sz w:val="31"/>
          <w:szCs w:val="31"/>
          <w:highlight w:val="none"/>
          <w:lang w:bidi="ar"/>
        </w:rPr>
        <w:t xml:space="preserve"> </w:t>
      </w:r>
      <w:r>
        <w:rPr>
          <w:rFonts w:hint="eastAsia" w:ascii="仿宋_GB2312" w:hAnsi="Times New Roman" w:eastAsia="仿宋_GB2312" w:cs="Times New Roman"/>
          <w:sz w:val="28"/>
          <w:szCs w:val="28"/>
          <w:highlight w:val="none"/>
        </w:rPr>
        <w:t xml:space="preserve"> 年  月  日</w:t>
      </w:r>
    </w:p>
    <w:p w14:paraId="581216B0">
      <w:pPr>
        <w:widowControl/>
        <w:jc w:val="left"/>
        <w:rPr>
          <w:rFonts w:eastAsia="仿宋_GB2312"/>
          <w:sz w:val="32"/>
          <w:szCs w:val="32"/>
          <w:highlight w:val="none"/>
        </w:rPr>
      </w:pPr>
      <w:r>
        <w:rPr>
          <w:rFonts w:ascii="楷体_GB2312" w:hAnsi="宋体" w:eastAsia="楷体_GB2312" w:cs="楷体_GB2312"/>
          <w:color w:val="000000"/>
          <w:kern w:val="0"/>
          <w:sz w:val="24"/>
          <w:highlight w:val="none"/>
          <w:lang w:bidi="ar"/>
        </w:rPr>
        <w:t>（本告知书一式两份，一份由被告知人保存，一份由告知人所在单位留存）</w:t>
      </w:r>
    </w:p>
    <w:p w14:paraId="42DADCD7">
      <w:pPr>
        <w:rPr>
          <w:rFonts w:hint="eastAsia" w:ascii="仿宋" w:hAnsi="仿宋" w:eastAsia="仿宋" w:cs="仿宋"/>
          <w:b/>
          <w:bCs/>
          <w:color w:val="auto"/>
          <w:kern w:val="2"/>
          <w:sz w:val="24"/>
          <w:szCs w:val="24"/>
          <w:highlight w:val="none"/>
          <w:lang w:val="en-US" w:eastAsia="zh-CN"/>
        </w:rPr>
      </w:pPr>
    </w:p>
    <w:p w14:paraId="5E73CE18">
      <w:pPr>
        <w:rPr>
          <w:rFonts w:hint="eastAsia" w:ascii="仿宋" w:hAnsi="仿宋" w:eastAsia="仿宋" w:cs="仿宋"/>
          <w:b/>
          <w:bCs/>
          <w:color w:val="auto"/>
          <w:kern w:val="2"/>
          <w:sz w:val="24"/>
          <w:szCs w:val="24"/>
          <w:highlight w:val="none"/>
          <w:lang w:val="en-US" w:eastAsia="zh-CN"/>
        </w:rPr>
      </w:pPr>
    </w:p>
    <w:p w14:paraId="1EC7BC1F">
      <w:pPr>
        <w:rPr>
          <w:rFonts w:hint="eastAsia" w:ascii="仿宋" w:hAnsi="仿宋" w:eastAsia="仿宋" w:cs="仿宋"/>
          <w:b/>
          <w:bCs/>
          <w:color w:val="auto"/>
          <w:kern w:val="2"/>
          <w:sz w:val="24"/>
          <w:szCs w:val="24"/>
          <w:highlight w:val="none"/>
          <w:lang w:val="en-US" w:eastAsia="zh-CN"/>
        </w:rPr>
      </w:pPr>
    </w:p>
    <w:p w14:paraId="353E01B9">
      <w:pPr>
        <w:spacing w:before="0" w:beforeLines="-2147483648" w:after="0" w:afterLines="-2147483648" w:line="240" w:lineRule="auto"/>
        <w:jc w:val="left"/>
        <w:rPr>
          <w:rFonts w:hint="eastAsia" w:ascii="仿宋_GB2312" w:hAnsi="Calibri" w:eastAsia="仿宋_GB2312"/>
          <w:b/>
          <w:bCs/>
          <w:color w:val="auto"/>
          <w:sz w:val="28"/>
          <w:szCs w:val="28"/>
          <w:highlight w:val="none"/>
        </w:rPr>
      </w:pPr>
      <w:r>
        <w:rPr>
          <w:rFonts w:hint="eastAsia" w:ascii="仿宋_GB2312" w:hAnsi="Calibri" w:eastAsia="仿宋_GB2312"/>
          <w:b/>
          <w:bCs/>
          <w:color w:val="auto"/>
          <w:sz w:val="28"/>
          <w:szCs w:val="28"/>
          <w:highlight w:val="none"/>
        </w:rPr>
        <w:t>附件</w:t>
      </w:r>
      <w:r>
        <w:rPr>
          <w:rFonts w:hint="eastAsia" w:ascii="仿宋_GB2312" w:hAnsi="Calibri" w:eastAsia="仿宋_GB2312"/>
          <w:b/>
          <w:bCs/>
          <w:color w:val="auto"/>
          <w:sz w:val="28"/>
          <w:szCs w:val="28"/>
          <w:highlight w:val="none"/>
          <w:lang w:val="en-US" w:eastAsia="zh-CN"/>
        </w:rPr>
        <w:t>3</w:t>
      </w:r>
      <w:r>
        <w:rPr>
          <w:rFonts w:hint="eastAsia" w:ascii="仿宋_GB2312" w:eastAsia="仿宋_GB2312"/>
          <w:b/>
          <w:bCs/>
          <w:sz w:val="28"/>
          <w:szCs w:val="28"/>
          <w:highlight w:val="none"/>
          <w:lang w:val="en-US" w:eastAsia="zh-CN"/>
        </w:rPr>
        <w:t>、</w:t>
      </w:r>
      <w:r>
        <w:rPr>
          <w:rFonts w:hint="eastAsia" w:ascii="仿宋_GB2312" w:hAnsi="Calibri" w:eastAsia="仿宋_GB2312"/>
          <w:b/>
          <w:bCs/>
          <w:color w:val="auto"/>
          <w:sz w:val="28"/>
          <w:szCs w:val="28"/>
          <w:highlight w:val="none"/>
        </w:rPr>
        <w:t>项目团队人员配置表</w:t>
      </w:r>
    </w:p>
    <w:p w14:paraId="25931D8D">
      <w:pPr>
        <w:rPr>
          <w:rFonts w:hint="eastAsia" w:ascii="仿宋" w:hAnsi="仿宋" w:eastAsia="仿宋" w:cs="仿宋"/>
          <w:b/>
          <w:bCs/>
          <w:color w:val="auto"/>
          <w:kern w:val="2"/>
          <w:sz w:val="24"/>
          <w:szCs w:val="24"/>
          <w:highlight w:val="none"/>
          <w:lang w:val="en-US" w:eastAsia="zh-CN"/>
        </w:rPr>
      </w:pPr>
    </w:p>
    <w:p w14:paraId="024F8DDE">
      <w:pPr>
        <w:rPr>
          <w:rFonts w:hint="eastAsia" w:ascii="仿宋" w:hAnsi="仿宋" w:eastAsia="仿宋" w:cs="仿宋"/>
          <w:b/>
          <w:bCs/>
          <w:color w:val="auto"/>
          <w:kern w:val="2"/>
          <w:sz w:val="24"/>
          <w:szCs w:val="24"/>
          <w:highlight w:val="none"/>
          <w:lang w:val="en-US" w:eastAsia="zh-CN"/>
        </w:rPr>
      </w:pPr>
    </w:p>
    <w:p w14:paraId="7DB30CF0">
      <w:pP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br w:type="page"/>
      </w:r>
    </w:p>
    <w:p w14:paraId="158BCC2F">
      <w:pP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八、投标人认为需要加以说明的其他内容的格式（包括但不限于以下内容）</w:t>
      </w:r>
    </w:p>
    <w:p w14:paraId="00A4417E">
      <w:pPr>
        <w:widowControl/>
        <w:jc w:val="left"/>
        <w:rPr>
          <w:rFonts w:hint="eastAsia" w:ascii="仿宋" w:hAnsi="仿宋" w:eastAsia="仿宋" w:cs="仿宋"/>
          <w:b/>
          <w:bCs/>
          <w:color w:val="auto"/>
          <w:sz w:val="24"/>
          <w:szCs w:val="20"/>
          <w:highlight w:val="none"/>
        </w:rPr>
      </w:pPr>
    </w:p>
    <w:p w14:paraId="38135F54">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14:paraId="60736DB7">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14:paraId="6C56B71C">
      <w:pPr>
        <w:pStyle w:val="10"/>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服务方案</w:t>
      </w:r>
    </w:p>
    <w:p w14:paraId="396C883F">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1AFB731F">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322DF7D5">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2350286F">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7A03D1E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5FC485D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2E1685BF">
      <w:pPr>
        <w:pStyle w:val="10"/>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项目重点难点分析、应对措施及相关的合理化建议</w:t>
      </w:r>
    </w:p>
    <w:p w14:paraId="5433C924">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4622C7B5">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081B1171">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79532D9E">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789C32B3">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16444ED9">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color w:val="000000"/>
          <w:kern w:val="0"/>
          <w:sz w:val="24"/>
          <w:szCs w:val="24"/>
          <w:highlight w:val="none"/>
          <w:lang w:val="en-US" w:eastAsia="zh-CN" w:bidi="ar-SA"/>
        </w:rPr>
      </w:pPr>
    </w:p>
    <w:p w14:paraId="78589617">
      <w:pPr>
        <w:pStyle w:val="10"/>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质量保障措施及方案</w:t>
      </w:r>
    </w:p>
    <w:p w14:paraId="4DD6249C">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sz w:val="24"/>
          <w:szCs w:val="24"/>
          <w:highlight w:val="none"/>
        </w:rPr>
      </w:pPr>
    </w:p>
    <w:p w14:paraId="1FC88093">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sz w:val="24"/>
          <w:szCs w:val="24"/>
          <w:highlight w:val="none"/>
        </w:rPr>
      </w:pPr>
    </w:p>
    <w:p w14:paraId="1A4BE3A7">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sz w:val="24"/>
          <w:szCs w:val="24"/>
          <w:highlight w:val="none"/>
        </w:rPr>
      </w:pPr>
    </w:p>
    <w:p w14:paraId="39B59C32">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sz w:val="24"/>
          <w:szCs w:val="24"/>
          <w:highlight w:val="none"/>
        </w:rPr>
      </w:pPr>
    </w:p>
    <w:p w14:paraId="07751E9F">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sz w:val="24"/>
          <w:szCs w:val="24"/>
          <w:highlight w:val="none"/>
        </w:rPr>
      </w:pPr>
    </w:p>
    <w:p w14:paraId="21CD67A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sz w:val="24"/>
          <w:szCs w:val="24"/>
          <w:highlight w:val="none"/>
        </w:rPr>
      </w:pPr>
    </w:p>
    <w:p w14:paraId="6C7CADCC">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p w14:paraId="3A5B8A26">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14:paraId="47073E28">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14:paraId="126B179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612FD9-B0BC-40C3-896A-98869658A3B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B5438B-C2C9-4326-8E29-83521C1D98E9}"/>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6511F933-FA6E-489B-B662-C7CD74B195A2}"/>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4" w:fontKey="{875B0FBD-4370-4D62-95F9-2A089B9BC07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5139A8F5-5DA0-45D0-864F-25F2FCA81A70}"/>
  </w:font>
  <w:font w:name="楷体">
    <w:panose1 w:val="02010609060101010101"/>
    <w:charset w:val="86"/>
    <w:family w:val="auto"/>
    <w:pitch w:val="default"/>
    <w:sig w:usb0="800002BF" w:usb1="38CF7CFA" w:usb2="00000016" w:usb3="00000000" w:csb0="00040001" w:csb1="00000000"/>
    <w:embedRegular r:id="rId6" w:fontKey="{CD1BCD65-EA04-4B78-8605-6CCE127C6387}"/>
  </w:font>
  <w:font w:name="方正小标宋简体">
    <w:panose1 w:val="02000000000000000000"/>
    <w:charset w:val="86"/>
    <w:family w:val="auto"/>
    <w:pitch w:val="default"/>
    <w:sig w:usb0="00000001" w:usb1="08000000" w:usb2="00000000" w:usb3="00000000" w:csb0="00040000" w:csb1="00000000"/>
    <w:embedRegular r:id="rId7" w:fontKey="{55DFC14F-C46D-429E-B787-43C6F4359759}"/>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1BE0">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EF0C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EF0C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343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CEEC3393"/>
    <w:multiLevelType w:val="singleLevel"/>
    <w:tmpl w:val="CEEC3393"/>
    <w:lvl w:ilvl="0" w:tentative="0">
      <w:start w:val="1"/>
      <w:numFmt w:val="chineseCounting"/>
      <w:suff w:val="nothing"/>
      <w:lvlText w:val="（%1）"/>
      <w:lvlJc w:val="left"/>
      <w:rPr>
        <w:rFonts w:hint="eastAsia"/>
      </w:rPr>
    </w:lvl>
  </w:abstractNum>
  <w:abstractNum w:abstractNumId="3">
    <w:nsid w:val="D4F5C243"/>
    <w:multiLevelType w:val="singleLevel"/>
    <w:tmpl w:val="D4F5C243"/>
    <w:lvl w:ilvl="0" w:tentative="0">
      <w:start w:val="1"/>
      <w:numFmt w:val="chineseCounting"/>
      <w:suff w:val="nothing"/>
      <w:lvlText w:val="（%1）"/>
      <w:lvlJc w:val="left"/>
      <w:rPr>
        <w:rFonts w:hint="eastAsia"/>
      </w:rPr>
    </w:lvl>
  </w:abstractNum>
  <w:abstractNum w:abstractNumId="4">
    <w:nsid w:val="E823489C"/>
    <w:multiLevelType w:val="singleLevel"/>
    <w:tmpl w:val="E823489C"/>
    <w:lvl w:ilvl="0" w:tentative="0">
      <w:start w:val="1"/>
      <w:numFmt w:val="decimal"/>
      <w:lvlText w:val="%1."/>
      <w:lvlJc w:val="left"/>
      <w:pPr>
        <w:ind w:left="425" w:hanging="425"/>
      </w:pPr>
      <w:rPr>
        <w:rFonts w:hint="default"/>
      </w:rPr>
    </w:lvl>
  </w:abstractNum>
  <w:abstractNum w:abstractNumId="5">
    <w:nsid w:val="E990C95E"/>
    <w:multiLevelType w:val="singleLevel"/>
    <w:tmpl w:val="E990C95E"/>
    <w:lvl w:ilvl="0" w:tentative="0">
      <w:start w:val="1"/>
      <w:numFmt w:val="decimal"/>
      <w:lvlText w:val="%1."/>
      <w:lvlJc w:val="left"/>
      <w:pPr>
        <w:tabs>
          <w:tab w:val="left" w:pos="312"/>
        </w:tabs>
      </w:pPr>
    </w:lvl>
  </w:abstractNum>
  <w:abstractNum w:abstractNumId="6">
    <w:nsid w:val="FC6F149D"/>
    <w:multiLevelType w:val="singleLevel"/>
    <w:tmpl w:val="FC6F149D"/>
    <w:lvl w:ilvl="0" w:tentative="0">
      <w:start w:val="3"/>
      <w:numFmt w:val="decimal"/>
      <w:lvlText w:val="%1."/>
      <w:lvlJc w:val="left"/>
      <w:pPr>
        <w:tabs>
          <w:tab w:val="left" w:pos="312"/>
        </w:tabs>
      </w:pPr>
    </w:lvl>
  </w:abstractNum>
  <w:abstractNum w:abstractNumId="7">
    <w:nsid w:val="0FADD94B"/>
    <w:multiLevelType w:val="singleLevel"/>
    <w:tmpl w:val="0FADD94B"/>
    <w:lvl w:ilvl="0" w:tentative="0">
      <w:start w:val="1"/>
      <w:numFmt w:val="decimal"/>
      <w:lvlText w:val="%1."/>
      <w:lvlJc w:val="left"/>
      <w:pPr>
        <w:tabs>
          <w:tab w:val="left" w:pos="312"/>
        </w:tabs>
      </w:pPr>
    </w:lvl>
  </w:abstractNum>
  <w:abstractNum w:abstractNumId="8">
    <w:nsid w:val="296F2EC0"/>
    <w:multiLevelType w:val="singleLevel"/>
    <w:tmpl w:val="296F2EC0"/>
    <w:lvl w:ilvl="0" w:tentative="0">
      <w:start w:val="2"/>
      <w:numFmt w:val="chineseCounting"/>
      <w:suff w:val="nothing"/>
      <w:lvlText w:val="%1、"/>
      <w:lvlJc w:val="left"/>
      <w:rPr>
        <w:rFonts w:hint="eastAsia"/>
      </w:rPr>
    </w:lvl>
  </w:abstractNum>
  <w:abstractNum w:abstractNumId="9">
    <w:nsid w:val="5AA59E55"/>
    <w:multiLevelType w:val="singleLevel"/>
    <w:tmpl w:val="5AA59E55"/>
    <w:lvl w:ilvl="0" w:tentative="0">
      <w:start w:val="1"/>
      <w:numFmt w:val="decimal"/>
      <w:lvlText w:val="%1."/>
      <w:lvlJc w:val="left"/>
      <w:pPr>
        <w:tabs>
          <w:tab w:val="left" w:pos="312"/>
        </w:tabs>
      </w:pPr>
    </w:lvl>
  </w:abstractNum>
  <w:num w:numId="1">
    <w:abstractNumId w:val="3"/>
  </w:num>
  <w:num w:numId="2">
    <w:abstractNumId w:val="5"/>
  </w:num>
  <w:num w:numId="3">
    <w:abstractNumId w:val="9"/>
  </w:num>
  <w:num w:numId="4">
    <w:abstractNumId w:val="6"/>
  </w:num>
  <w:num w:numId="5">
    <w:abstractNumId w:val="4"/>
  </w:num>
  <w:num w:numId="6">
    <w:abstractNumId w:val="8"/>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257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D7E66"/>
    <w:rsid w:val="01CA5CC8"/>
    <w:rsid w:val="02070CCA"/>
    <w:rsid w:val="02510197"/>
    <w:rsid w:val="026D1BEA"/>
    <w:rsid w:val="029D3A65"/>
    <w:rsid w:val="029E28CC"/>
    <w:rsid w:val="02FD73D9"/>
    <w:rsid w:val="03AD764F"/>
    <w:rsid w:val="03F34A98"/>
    <w:rsid w:val="040D7160"/>
    <w:rsid w:val="04180F6C"/>
    <w:rsid w:val="049A7A55"/>
    <w:rsid w:val="04A163D8"/>
    <w:rsid w:val="04F24EFB"/>
    <w:rsid w:val="04F31768"/>
    <w:rsid w:val="0523406D"/>
    <w:rsid w:val="06020126"/>
    <w:rsid w:val="06050740"/>
    <w:rsid w:val="066227F4"/>
    <w:rsid w:val="07100225"/>
    <w:rsid w:val="07282BFE"/>
    <w:rsid w:val="07A07BF6"/>
    <w:rsid w:val="07DA5D7D"/>
    <w:rsid w:val="07F949EC"/>
    <w:rsid w:val="07FC1113"/>
    <w:rsid w:val="0822685D"/>
    <w:rsid w:val="08AF3684"/>
    <w:rsid w:val="08C65FB7"/>
    <w:rsid w:val="08D7672D"/>
    <w:rsid w:val="08F66335"/>
    <w:rsid w:val="09722ECD"/>
    <w:rsid w:val="09862E1C"/>
    <w:rsid w:val="09A137B2"/>
    <w:rsid w:val="09EA6E37"/>
    <w:rsid w:val="0A0106F5"/>
    <w:rsid w:val="0A0807A0"/>
    <w:rsid w:val="0A2A2D13"/>
    <w:rsid w:val="0A310FDA"/>
    <w:rsid w:val="0A426DC6"/>
    <w:rsid w:val="0AC70AC2"/>
    <w:rsid w:val="0B1701D0"/>
    <w:rsid w:val="0B5F1B77"/>
    <w:rsid w:val="0B9C2483"/>
    <w:rsid w:val="0BC11EE9"/>
    <w:rsid w:val="0BFC73BE"/>
    <w:rsid w:val="0C032502"/>
    <w:rsid w:val="0C141EDE"/>
    <w:rsid w:val="0C193AD3"/>
    <w:rsid w:val="0C662A91"/>
    <w:rsid w:val="0CAC2BC9"/>
    <w:rsid w:val="0CEA5470"/>
    <w:rsid w:val="0D501777"/>
    <w:rsid w:val="0DB708FE"/>
    <w:rsid w:val="0DE95727"/>
    <w:rsid w:val="0DFF46DE"/>
    <w:rsid w:val="0E0D4AF2"/>
    <w:rsid w:val="0E400B9F"/>
    <w:rsid w:val="0EB86FCD"/>
    <w:rsid w:val="0EBE3E7B"/>
    <w:rsid w:val="0EF83E74"/>
    <w:rsid w:val="0F19203C"/>
    <w:rsid w:val="0F264E85"/>
    <w:rsid w:val="0F2F360E"/>
    <w:rsid w:val="0F9D4A1B"/>
    <w:rsid w:val="0FC24482"/>
    <w:rsid w:val="10887348"/>
    <w:rsid w:val="10C852A7"/>
    <w:rsid w:val="11482EF1"/>
    <w:rsid w:val="114924F2"/>
    <w:rsid w:val="11F701D1"/>
    <w:rsid w:val="11FA7F03"/>
    <w:rsid w:val="12176D07"/>
    <w:rsid w:val="12E76E7A"/>
    <w:rsid w:val="13462C5D"/>
    <w:rsid w:val="14103A0E"/>
    <w:rsid w:val="145E012F"/>
    <w:rsid w:val="147E0AD7"/>
    <w:rsid w:val="15007F26"/>
    <w:rsid w:val="150317C5"/>
    <w:rsid w:val="156102B8"/>
    <w:rsid w:val="15903C4E"/>
    <w:rsid w:val="15C745A0"/>
    <w:rsid w:val="16687697"/>
    <w:rsid w:val="17684DD0"/>
    <w:rsid w:val="17775829"/>
    <w:rsid w:val="17C91873"/>
    <w:rsid w:val="17EF7DDE"/>
    <w:rsid w:val="17F65CCC"/>
    <w:rsid w:val="17FE49B9"/>
    <w:rsid w:val="18143A6B"/>
    <w:rsid w:val="185C1918"/>
    <w:rsid w:val="186D1B4E"/>
    <w:rsid w:val="18AC5CCF"/>
    <w:rsid w:val="18CC0DEB"/>
    <w:rsid w:val="18F51424"/>
    <w:rsid w:val="19091C4A"/>
    <w:rsid w:val="19314B52"/>
    <w:rsid w:val="19AF7825"/>
    <w:rsid w:val="19C568A1"/>
    <w:rsid w:val="19D44C1D"/>
    <w:rsid w:val="1A3F504D"/>
    <w:rsid w:val="1AAE21D3"/>
    <w:rsid w:val="1ABD1FC6"/>
    <w:rsid w:val="1AD85951"/>
    <w:rsid w:val="1B0E2C71"/>
    <w:rsid w:val="1B827729"/>
    <w:rsid w:val="1BB07BC9"/>
    <w:rsid w:val="1BC23B09"/>
    <w:rsid w:val="1BD67990"/>
    <w:rsid w:val="1BEB6C53"/>
    <w:rsid w:val="1C0320AA"/>
    <w:rsid w:val="1C7D15FF"/>
    <w:rsid w:val="1C8C6544"/>
    <w:rsid w:val="1CAB4C1C"/>
    <w:rsid w:val="1CB63012"/>
    <w:rsid w:val="1D274CCD"/>
    <w:rsid w:val="1D550FDE"/>
    <w:rsid w:val="1D584E71"/>
    <w:rsid w:val="1D5C581B"/>
    <w:rsid w:val="1D6E4E35"/>
    <w:rsid w:val="1E393459"/>
    <w:rsid w:val="1E7B23CC"/>
    <w:rsid w:val="1F6115C2"/>
    <w:rsid w:val="1F6E3CDF"/>
    <w:rsid w:val="1F7C13B4"/>
    <w:rsid w:val="20612D7F"/>
    <w:rsid w:val="20765736"/>
    <w:rsid w:val="20D44015"/>
    <w:rsid w:val="20DD55C0"/>
    <w:rsid w:val="210A2DBD"/>
    <w:rsid w:val="21721D94"/>
    <w:rsid w:val="2231143C"/>
    <w:rsid w:val="223C4960"/>
    <w:rsid w:val="2245341D"/>
    <w:rsid w:val="22574EFE"/>
    <w:rsid w:val="22882FEA"/>
    <w:rsid w:val="229E092E"/>
    <w:rsid w:val="22EB3FC4"/>
    <w:rsid w:val="23476D20"/>
    <w:rsid w:val="23614286"/>
    <w:rsid w:val="236379CA"/>
    <w:rsid w:val="237B69CA"/>
    <w:rsid w:val="239F4DAE"/>
    <w:rsid w:val="23CD3AA8"/>
    <w:rsid w:val="24030E99"/>
    <w:rsid w:val="24377ED0"/>
    <w:rsid w:val="244553D1"/>
    <w:rsid w:val="24912949"/>
    <w:rsid w:val="24E0742D"/>
    <w:rsid w:val="251175E6"/>
    <w:rsid w:val="254C061E"/>
    <w:rsid w:val="2556149D"/>
    <w:rsid w:val="25BB0CC3"/>
    <w:rsid w:val="25EA2F9C"/>
    <w:rsid w:val="26226C5D"/>
    <w:rsid w:val="2663431E"/>
    <w:rsid w:val="26FA72C2"/>
    <w:rsid w:val="270E64D3"/>
    <w:rsid w:val="279462AC"/>
    <w:rsid w:val="283A32F8"/>
    <w:rsid w:val="28553C8E"/>
    <w:rsid w:val="28790EF5"/>
    <w:rsid w:val="28793E20"/>
    <w:rsid w:val="28C92CBB"/>
    <w:rsid w:val="28E868B0"/>
    <w:rsid w:val="290C4C94"/>
    <w:rsid w:val="294C6E3F"/>
    <w:rsid w:val="29CE1F49"/>
    <w:rsid w:val="29FE21D6"/>
    <w:rsid w:val="2A495A74"/>
    <w:rsid w:val="2A9E23A4"/>
    <w:rsid w:val="2B9E2342"/>
    <w:rsid w:val="2BE041B6"/>
    <w:rsid w:val="2BE07D12"/>
    <w:rsid w:val="2C0A4D8F"/>
    <w:rsid w:val="2C385076"/>
    <w:rsid w:val="2C9A4365"/>
    <w:rsid w:val="2C9A7A52"/>
    <w:rsid w:val="2D5B3AF4"/>
    <w:rsid w:val="2DE112C4"/>
    <w:rsid w:val="2E183793"/>
    <w:rsid w:val="2EAD348A"/>
    <w:rsid w:val="2EBE0EDE"/>
    <w:rsid w:val="2F1C5505"/>
    <w:rsid w:val="2F803CE6"/>
    <w:rsid w:val="304412AC"/>
    <w:rsid w:val="304A60A2"/>
    <w:rsid w:val="30E402A4"/>
    <w:rsid w:val="30E43E01"/>
    <w:rsid w:val="30E67B79"/>
    <w:rsid w:val="314603B7"/>
    <w:rsid w:val="316769E0"/>
    <w:rsid w:val="31BD7D7C"/>
    <w:rsid w:val="32672904"/>
    <w:rsid w:val="3309293E"/>
    <w:rsid w:val="33922D7B"/>
    <w:rsid w:val="33C148CD"/>
    <w:rsid w:val="33EE4A4E"/>
    <w:rsid w:val="342509B8"/>
    <w:rsid w:val="3542559A"/>
    <w:rsid w:val="356B157C"/>
    <w:rsid w:val="35A707EA"/>
    <w:rsid w:val="35B2271F"/>
    <w:rsid w:val="368C11C2"/>
    <w:rsid w:val="36F32FEF"/>
    <w:rsid w:val="37C82C94"/>
    <w:rsid w:val="37EB6F48"/>
    <w:rsid w:val="38C718C7"/>
    <w:rsid w:val="39A56EBD"/>
    <w:rsid w:val="3A744536"/>
    <w:rsid w:val="3AB1338A"/>
    <w:rsid w:val="3B141786"/>
    <w:rsid w:val="3B2F036E"/>
    <w:rsid w:val="3B385475"/>
    <w:rsid w:val="3B787B31"/>
    <w:rsid w:val="3BFA6B84"/>
    <w:rsid w:val="3C1108C0"/>
    <w:rsid w:val="3C3C2D43"/>
    <w:rsid w:val="3CC147F6"/>
    <w:rsid w:val="3D367D36"/>
    <w:rsid w:val="3D9803AD"/>
    <w:rsid w:val="3DD75110"/>
    <w:rsid w:val="3DDB63EB"/>
    <w:rsid w:val="3E7144D4"/>
    <w:rsid w:val="3EAA55A5"/>
    <w:rsid w:val="3EC519A3"/>
    <w:rsid w:val="3F623810"/>
    <w:rsid w:val="3FA255B3"/>
    <w:rsid w:val="3FC05D7C"/>
    <w:rsid w:val="400F4B9B"/>
    <w:rsid w:val="4010076E"/>
    <w:rsid w:val="406749C8"/>
    <w:rsid w:val="407C22A8"/>
    <w:rsid w:val="41054D43"/>
    <w:rsid w:val="41847666"/>
    <w:rsid w:val="41AB4D3E"/>
    <w:rsid w:val="41C061C4"/>
    <w:rsid w:val="41E74672"/>
    <w:rsid w:val="42066D19"/>
    <w:rsid w:val="425925AF"/>
    <w:rsid w:val="42B97ABC"/>
    <w:rsid w:val="431D791B"/>
    <w:rsid w:val="435A3A27"/>
    <w:rsid w:val="43E21F24"/>
    <w:rsid w:val="43F809F6"/>
    <w:rsid w:val="44770EE3"/>
    <w:rsid w:val="44D77AAC"/>
    <w:rsid w:val="44DE52DF"/>
    <w:rsid w:val="44EE727B"/>
    <w:rsid w:val="453A628D"/>
    <w:rsid w:val="456450B8"/>
    <w:rsid w:val="45BE3CD9"/>
    <w:rsid w:val="45CB1F02"/>
    <w:rsid w:val="46252A99"/>
    <w:rsid w:val="467A5994"/>
    <w:rsid w:val="46E62229"/>
    <w:rsid w:val="46FE3E8E"/>
    <w:rsid w:val="4762530A"/>
    <w:rsid w:val="47717F92"/>
    <w:rsid w:val="4797200E"/>
    <w:rsid w:val="47FB02EA"/>
    <w:rsid w:val="485A55A2"/>
    <w:rsid w:val="493354CD"/>
    <w:rsid w:val="497F0713"/>
    <w:rsid w:val="49E21C9A"/>
    <w:rsid w:val="4A1238E7"/>
    <w:rsid w:val="4A155AE7"/>
    <w:rsid w:val="4B3B50B5"/>
    <w:rsid w:val="4B475260"/>
    <w:rsid w:val="4B5856BF"/>
    <w:rsid w:val="4B8B7843"/>
    <w:rsid w:val="4C7B6174"/>
    <w:rsid w:val="4CA911B5"/>
    <w:rsid w:val="4DFB56C9"/>
    <w:rsid w:val="4E2850FC"/>
    <w:rsid w:val="4E910D5D"/>
    <w:rsid w:val="4EE259CC"/>
    <w:rsid w:val="4EE651AB"/>
    <w:rsid w:val="4FBD3D43"/>
    <w:rsid w:val="4FFFEDC3"/>
    <w:rsid w:val="503874F1"/>
    <w:rsid w:val="50A53155"/>
    <w:rsid w:val="511531C6"/>
    <w:rsid w:val="51A159FE"/>
    <w:rsid w:val="52287B99"/>
    <w:rsid w:val="52333AA7"/>
    <w:rsid w:val="52410C5B"/>
    <w:rsid w:val="5269450D"/>
    <w:rsid w:val="526E3F03"/>
    <w:rsid w:val="529671F9"/>
    <w:rsid w:val="52992845"/>
    <w:rsid w:val="52F01F04"/>
    <w:rsid w:val="531C51D3"/>
    <w:rsid w:val="533864BD"/>
    <w:rsid w:val="547D1CF3"/>
    <w:rsid w:val="54975D21"/>
    <w:rsid w:val="54BF4E56"/>
    <w:rsid w:val="5503044A"/>
    <w:rsid w:val="56080135"/>
    <w:rsid w:val="562C577E"/>
    <w:rsid w:val="567809C3"/>
    <w:rsid w:val="56CB240C"/>
    <w:rsid w:val="56CD51B3"/>
    <w:rsid w:val="56EA7C57"/>
    <w:rsid w:val="573A3ECB"/>
    <w:rsid w:val="575B02ED"/>
    <w:rsid w:val="57614FE6"/>
    <w:rsid w:val="57EE5AE8"/>
    <w:rsid w:val="5834070E"/>
    <w:rsid w:val="5866703A"/>
    <w:rsid w:val="58D8399B"/>
    <w:rsid w:val="595465EE"/>
    <w:rsid w:val="598002BB"/>
    <w:rsid w:val="5A0C1B4F"/>
    <w:rsid w:val="5A837DC1"/>
    <w:rsid w:val="5ABF12B7"/>
    <w:rsid w:val="5B3F505C"/>
    <w:rsid w:val="5B40223A"/>
    <w:rsid w:val="5B4E6197"/>
    <w:rsid w:val="5B500161"/>
    <w:rsid w:val="5BAE7E0A"/>
    <w:rsid w:val="5BE57E36"/>
    <w:rsid w:val="5C882305"/>
    <w:rsid w:val="5D4B0128"/>
    <w:rsid w:val="5D6B1282"/>
    <w:rsid w:val="5D705536"/>
    <w:rsid w:val="5D7212B5"/>
    <w:rsid w:val="5DF94AE0"/>
    <w:rsid w:val="5E0A2849"/>
    <w:rsid w:val="5E3E6CDB"/>
    <w:rsid w:val="5E6A32E8"/>
    <w:rsid w:val="5E8048B9"/>
    <w:rsid w:val="5E940365"/>
    <w:rsid w:val="5E95226E"/>
    <w:rsid w:val="5EA66A16"/>
    <w:rsid w:val="5ED54C05"/>
    <w:rsid w:val="5F277ED5"/>
    <w:rsid w:val="5F381638"/>
    <w:rsid w:val="5F81413C"/>
    <w:rsid w:val="5F8F2016"/>
    <w:rsid w:val="60031CB2"/>
    <w:rsid w:val="608368E3"/>
    <w:rsid w:val="60C413D5"/>
    <w:rsid w:val="6111668E"/>
    <w:rsid w:val="615B6F6B"/>
    <w:rsid w:val="623E27EF"/>
    <w:rsid w:val="62D578C9"/>
    <w:rsid w:val="63422A85"/>
    <w:rsid w:val="63736D0F"/>
    <w:rsid w:val="63EC046F"/>
    <w:rsid w:val="64041E8E"/>
    <w:rsid w:val="6470717E"/>
    <w:rsid w:val="649D4417"/>
    <w:rsid w:val="65393A14"/>
    <w:rsid w:val="655D6C47"/>
    <w:rsid w:val="658E3D60"/>
    <w:rsid w:val="658F2B3B"/>
    <w:rsid w:val="65BD63F3"/>
    <w:rsid w:val="662D5327"/>
    <w:rsid w:val="66361BAE"/>
    <w:rsid w:val="663F505A"/>
    <w:rsid w:val="66521231"/>
    <w:rsid w:val="666F1DE3"/>
    <w:rsid w:val="66AA05FC"/>
    <w:rsid w:val="66FE6C82"/>
    <w:rsid w:val="682664D1"/>
    <w:rsid w:val="68297D70"/>
    <w:rsid w:val="685665D7"/>
    <w:rsid w:val="69006D22"/>
    <w:rsid w:val="69056046"/>
    <w:rsid w:val="69111763"/>
    <w:rsid w:val="69823BDB"/>
    <w:rsid w:val="6A225D48"/>
    <w:rsid w:val="6A2829D5"/>
    <w:rsid w:val="6A2C3B47"/>
    <w:rsid w:val="6A6322E4"/>
    <w:rsid w:val="6AC36259"/>
    <w:rsid w:val="6B3C7509"/>
    <w:rsid w:val="6B67752D"/>
    <w:rsid w:val="6B6F1F3D"/>
    <w:rsid w:val="6B7645C5"/>
    <w:rsid w:val="6C430180"/>
    <w:rsid w:val="6C4D2861"/>
    <w:rsid w:val="6C8963D5"/>
    <w:rsid w:val="6CA87DFD"/>
    <w:rsid w:val="6CCA5E07"/>
    <w:rsid w:val="6D943EDD"/>
    <w:rsid w:val="6E1E6C74"/>
    <w:rsid w:val="6E5978B6"/>
    <w:rsid w:val="6EC1605C"/>
    <w:rsid w:val="6F06541D"/>
    <w:rsid w:val="6F767D3E"/>
    <w:rsid w:val="70001CFE"/>
    <w:rsid w:val="70370988"/>
    <w:rsid w:val="70DE7195"/>
    <w:rsid w:val="71184E25"/>
    <w:rsid w:val="715776FB"/>
    <w:rsid w:val="71F210A6"/>
    <w:rsid w:val="722208FA"/>
    <w:rsid w:val="72CC0A62"/>
    <w:rsid w:val="73124222"/>
    <w:rsid w:val="732E0084"/>
    <w:rsid w:val="73332843"/>
    <w:rsid w:val="7350022B"/>
    <w:rsid w:val="73AF381F"/>
    <w:rsid w:val="73C60B68"/>
    <w:rsid w:val="74DA4670"/>
    <w:rsid w:val="75F052ED"/>
    <w:rsid w:val="762D4ECF"/>
    <w:rsid w:val="77236647"/>
    <w:rsid w:val="7808174F"/>
    <w:rsid w:val="780D13B5"/>
    <w:rsid w:val="78197E01"/>
    <w:rsid w:val="789C3DC3"/>
    <w:rsid w:val="79BC128C"/>
    <w:rsid w:val="79E32474"/>
    <w:rsid w:val="7A2806AC"/>
    <w:rsid w:val="7A566D58"/>
    <w:rsid w:val="7B09415C"/>
    <w:rsid w:val="7B851309"/>
    <w:rsid w:val="7B8B5094"/>
    <w:rsid w:val="7B9C0D55"/>
    <w:rsid w:val="7BCF6656"/>
    <w:rsid w:val="7BE14791"/>
    <w:rsid w:val="7D0970E6"/>
    <w:rsid w:val="7D126505"/>
    <w:rsid w:val="7D176902"/>
    <w:rsid w:val="7D273B57"/>
    <w:rsid w:val="7D4E7230"/>
    <w:rsid w:val="7DCE2E07"/>
    <w:rsid w:val="7DD10836"/>
    <w:rsid w:val="7E7A1F7F"/>
    <w:rsid w:val="7F0F1615"/>
    <w:rsid w:val="7FB34697"/>
    <w:rsid w:val="7FC44AF6"/>
    <w:rsid w:val="7FFB1338"/>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4"/>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6"/>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7"/>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35"/>
    <w:qFormat/>
    <w:uiPriority w:val="0"/>
    <w:pPr>
      <w:ind w:firstLine="420"/>
    </w:pPr>
    <w:rPr>
      <w:rFonts w:hAnsi="Verdana" w:cs="Times New Roman"/>
      <w:bCs/>
      <w:szCs w:val="24"/>
    </w:rPr>
  </w:style>
  <w:style w:type="paragraph" w:styleId="6">
    <w:name w:val="Document Map"/>
    <w:basedOn w:val="1"/>
    <w:link w:val="41"/>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unhideWhenUsed/>
    <w:qFormat/>
    <w:uiPriority w:val="99"/>
    <w:rPr>
      <w:rFonts w:asciiTheme="minorHAnsi" w:hAnsiTheme="minorHAnsi" w:cstheme="minorBidi"/>
      <w:szCs w:val="22"/>
    </w:rPr>
  </w:style>
  <w:style w:type="paragraph" w:styleId="9">
    <w:name w:val="Body Text Indent"/>
    <w:basedOn w:val="1"/>
    <w:qFormat/>
    <w:uiPriority w:val="0"/>
    <w:pPr>
      <w:spacing w:line="360" w:lineRule="auto"/>
      <w:ind w:firstLine="420" w:firstLineChars="200"/>
    </w:pPr>
  </w:style>
  <w:style w:type="paragraph" w:styleId="10">
    <w:name w:val="Plain Text"/>
    <w:basedOn w:val="1"/>
    <w:link w:val="45"/>
    <w:semiHidden/>
    <w:unhideWhenUsed/>
    <w:qFormat/>
    <w:uiPriority w:val="99"/>
    <w:rPr>
      <w:rFonts w:ascii="宋体" w:hAnsi="Courier New" w:cs="Times New Roman"/>
      <w:szCs w:val="20"/>
    </w:rPr>
  </w:style>
  <w:style w:type="paragraph" w:styleId="11">
    <w:name w:val="Body Text Indent 2"/>
    <w:basedOn w:val="1"/>
    <w:qFormat/>
    <w:uiPriority w:val="0"/>
    <w:pPr>
      <w:spacing w:line="288" w:lineRule="auto"/>
      <w:ind w:firstLine="540"/>
    </w:pPr>
    <w:rPr>
      <w:rFonts w:ascii="楷体_GB2312" w:hAnsi="宋体" w:eastAsia="楷体_GB2312"/>
      <w:bCs/>
      <w:sz w:val="24"/>
      <w:szCs w:val="21"/>
    </w:rPr>
  </w:style>
  <w:style w:type="paragraph" w:styleId="12">
    <w:name w:val="Balloon Text"/>
    <w:basedOn w:val="1"/>
    <w:link w:val="39"/>
    <w:semiHidden/>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toc 2"/>
    <w:basedOn w:val="1"/>
    <w:next w:val="1"/>
    <w:semiHidden/>
    <w:qFormat/>
    <w:locked/>
    <w:uiPriority w:val="0"/>
    <w:pPr>
      <w:tabs>
        <w:tab w:val="right" w:leader="dot" w:pos="8296"/>
      </w:tabs>
      <w:ind w:left="210"/>
      <w:jc w:val="left"/>
    </w:pPr>
    <w:rPr>
      <w:smallCaps/>
    </w:rPr>
  </w:style>
  <w:style w:type="paragraph" w:styleId="17">
    <w:name w:val="Body Text 2"/>
    <w:basedOn w:val="1"/>
    <w:qFormat/>
    <w:uiPriority w:val="0"/>
    <w:pPr>
      <w:spacing w:line="360" w:lineRule="auto"/>
    </w:pPr>
    <w:rPr>
      <w:sz w:val="24"/>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link w:val="44"/>
    <w:qFormat/>
    <w:uiPriority w:val="99"/>
    <w:pPr>
      <w:widowControl/>
      <w:spacing w:line="300" w:lineRule="atLeast"/>
      <w:jc w:val="left"/>
    </w:pPr>
    <w:rPr>
      <w:rFonts w:ascii="宋体" w:hAnsi="宋体" w:cs="宋体"/>
      <w:kern w:val="0"/>
      <w:sz w:val="24"/>
      <w:szCs w:val="24"/>
    </w:rPr>
  </w:style>
  <w:style w:type="paragraph" w:styleId="20">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21">
    <w:name w:val="Body Text First Indent 2"/>
    <w:basedOn w:val="9"/>
    <w:semiHidden/>
    <w:unhideWhenUsed/>
    <w:qFormat/>
    <w:uiPriority w:val="99"/>
    <w:pPr>
      <w:spacing w:afterLines="25"/>
    </w:pPr>
  </w:style>
  <w:style w:type="table" w:styleId="23">
    <w:name w:val="Table Grid"/>
    <w:basedOn w:val="22"/>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locked/>
    <w:uiPriority w:val="0"/>
    <w:rPr>
      <w:b/>
    </w:rPr>
  </w:style>
  <w:style w:type="character" w:styleId="26">
    <w:name w:val="Hyperlink"/>
    <w:qFormat/>
    <w:uiPriority w:val="0"/>
    <w:rPr>
      <w:rFonts w:eastAsia="宋体"/>
      <w:color w:val="0000FF"/>
      <w:kern w:val="2"/>
      <w:sz w:val="24"/>
      <w:szCs w:val="24"/>
      <w:u w:val="single"/>
      <w:lang w:val="en-US" w:eastAsia="zh-CN" w:bidi="ar-SA"/>
    </w:rPr>
  </w:style>
  <w:style w:type="character" w:styleId="27">
    <w:name w:val="annotation reference"/>
    <w:basedOn w:val="24"/>
    <w:qFormat/>
    <w:uiPriority w:val="99"/>
    <w:rPr>
      <w:sz w:val="21"/>
      <w:szCs w:val="21"/>
    </w:rPr>
  </w:style>
  <w:style w:type="paragraph" w:styleId="28">
    <w:name w:val="Quote"/>
    <w:basedOn w:val="1"/>
    <w:next w:val="1"/>
    <w:qFormat/>
    <w:uiPriority w:val="99"/>
    <w:rPr>
      <w:rFonts w:ascii="Calibri" w:hAnsi="Calibri" w:cs="Calibri"/>
      <w:i/>
      <w:iCs/>
      <w:color w:val="000000"/>
      <w:sz w:val="22"/>
      <w:szCs w:val="22"/>
    </w:rPr>
  </w:style>
  <w:style w:type="paragraph" w:customStyle="1" w:styleId="29">
    <w:name w:val="表格文字"/>
    <w:basedOn w:val="1"/>
    <w:qFormat/>
    <w:uiPriority w:val="99"/>
    <w:pPr>
      <w:spacing w:before="25" w:after="25"/>
    </w:pPr>
    <w:rPr>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默认段落字体 Para Char Char Char Char"/>
    <w:basedOn w:val="1"/>
    <w:qFormat/>
    <w:uiPriority w:val="99"/>
    <w:rPr>
      <w:rFonts w:ascii="Times New Roman" w:hAnsi="Times New Roman" w:cs="Times New Roman"/>
    </w:rPr>
  </w:style>
  <w:style w:type="character" w:customStyle="1" w:styleId="32">
    <w:name w:val="页眉 Char"/>
    <w:basedOn w:val="24"/>
    <w:link w:val="14"/>
    <w:qFormat/>
    <w:uiPriority w:val="99"/>
    <w:rPr>
      <w:rFonts w:cs="Calibri"/>
      <w:sz w:val="18"/>
      <w:szCs w:val="18"/>
    </w:rPr>
  </w:style>
  <w:style w:type="character" w:customStyle="1" w:styleId="33">
    <w:name w:val="页脚 Char"/>
    <w:basedOn w:val="24"/>
    <w:link w:val="13"/>
    <w:qFormat/>
    <w:uiPriority w:val="99"/>
    <w:rPr>
      <w:rFonts w:cs="Calibri"/>
      <w:sz w:val="18"/>
      <w:szCs w:val="18"/>
    </w:rPr>
  </w:style>
  <w:style w:type="character" w:customStyle="1" w:styleId="34">
    <w:name w:val="标题 2 Char"/>
    <w:basedOn w:val="24"/>
    <w:link w:val="2"/>
    <w:qFormat/>
    <w:uiPriority w:val="0"/>
    <w:rPr>
      <w:rFonts w:ascii="宋体" w:hAnsi="宋体"/>
      <w:b/>
      <w:sz w:val="24"/>
    </w:rPr>
  </w:style>
  <w:style w:type="character" w:customStyle="1" w:styleId="35">
    <w:name w:val="正文缩进 Char"/>
    <w:basedOn w:val="24"/>
    <w:link w:val="5"/>
    <w:qFormat/>
    <w:uiPriority w:val="0"/>
    <w:rPr>
      <w:rFonts w:hAnsi="Verdana"/>
      <w:bCs/>
      <w:kern w:val="2"/>
      <w:sz w:val="21"/>
      <w:szCs w:val="24"/>
    </w:rPr>
  </w:style>
  <w:style w:type="character" w:customStyle="1" w:styleId="36">
    <w:name w:val="标题 3 Char"/>
    <w:basedOn w:val="24"/>
    <w:link w:val="3"/>
    <w:semiHidden/>
    <w:qFormat/>
    <w:uiPriority w:val="0"/>
    <w:rPr>
      <w:rFonts w:cs="Calibri"/>
      <w:b/>
      <w:bCs/>
      <w:kern w:val="2"/>
      <w:sz w:val="32"/>
      <w:szCs w:val="32"/>
    </w:rPr>
  </w:style>
  <w:style w:type="character" w:customStyle="1" w:styleId="37">
    <w:name w:val="标题 4 Char"/>
    <w:basedOn w:val="24"/>
    <w:link w:val="4"/>
    <w:semiHidden/>
    <w:qFormat/>
    <w:uiPriority w:val="0"/>
    <w:rPr>
      <w:rFonts w:ascii="Cambria" w:hAnsi="Cambria" w:eastAsia="宋体" w:cs="Times New Roman"/>
      <w:b/>
      <w:bCs/>
      <w:kern w:val="2"/>
      <w:sz w:val="28"/>
      <w:szCs w:val="28"/>
    </w:rPr>
  </w:style>
  <w:style w:type="paragraph" w:customStyle="1" w:styleId="3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9">
    <w:name w:val="批注框文本 Char"/>
    <w:basedOn w:val="24"/>
    <w:link w:val="12"/>
    <w:semiHidden/>
    <w:qFormat/>
    <w:uiPriority w:val="99"/>
    <w:rPr>
      <w:rFonts w:cs="Calibri"/>
      <w:kern w:val="2"/>
      <w:sz w:val="18"/>
      <w:szCs w:val="18"/>
    </w:rPr>
  </w:style>
  <w:style w:type="paragraph" w:styleId="40">
    <w:name w:val="List Paragraph"/>
    <w:basedOn w:val="1"/>
    <w:qFormat/>
    <w:uiPriority w:val="34"/>
    <w:pPr>
      <w:ind w:firstLine="420" w:firstLineChars="200"/>
    </w:pPr>
  </w:style>
  <w:style w:type="character" w:customStyle="1" w:styleId="41">
    <w:name w:val="文档结构图 Char"/>
    <w:basedOn w:val="24"/>
    <w:link w:val="6"/>
    <w:semiHidden/>
    <w:qFormat/>
    <w:uiPriority w:val="99"/>
    <w:rPr>
      <w:rFonts w:ascii="宋体" w:cs="Calibri"/>
      <w:kern w:val="2"/>
      <w:sz w:val="18"/>
      <w:szCs w:val="18"/>
    </w:rPr>
  </w:style>
  <w:style w:type="paragraph" w:customStyle="1" w:styleId="42">
    <w:name w:val="_Style 1"/>
    <w:basedOn w:val="1"/>
    <w:qFormat/>
    <w:uiPriority w:val="0"/>
  </w:style>
  <w:style w:type="paragraph" w:customStyle="1" w:styleId="43">
    <w:name w:val="_Style 2"/>
    <w:basedOn w:val="1"/>
    <w:qFormat/>
    <w:uiPriority w:val="0"/>
  </w:style>
  <w:style w:type="character" w:customStyle="1" w:styleId="44">
    <w:name w:val="普通(网站) Char"/>
    <w:link w:val="19"/>
    <w:qFormat/>
    <w:uiPriority w:val="99"/>
    <w:rPr>
      <w:rFonts w:ascii="宋体" w:hAnsi="宋体" w:cs="宋体"/>
      <w:sz w:val="24"/>
      <w:szCs w:val="24"/>
    </w:rPr>
  </w:style>
  <w:style w:type="character" w:customStyle="1" w:styleId="45">
    <w:name w:val="纯文本 Char"/>
    <w:basedOn w:val="24"/>
    <w:link w:val="10"/>
    <w:semiHidden/>
    <w:qFormat/>
    <w:uiPriority w:val="99"/>
    <w:rPr>
      <w:rFonts w:ascii="宋体" w:hAnsi="Courier New"/>
      <w:kern w:val="2"/>
      <w:sz w:val="21"/>
    </w:rPr>
  </w:style>
  <w:style w:type="paragraph" w:customStyle="1" w:styleId="46">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7">
    <w:name w:val="列出段落1"/>
    <w:basedOn w:val="1"/>
    <w:qFormat/>
    <w:uiPriority w:val="0"/>
    <w:pPr>
      <w:ind w:firstLine="420" w:firstLineChars="200"/>
    </w:pPr>
    <w:rPr>
      <w:szCs w:val="24"/>
    </w:rPr>
  </w:style>
  <w:style w:type="character" w:customStyle="1" w:styleId="48">
    <w:name w:val="NormalCharacter"/>
    <w:qFormat/>
    <w:uiPriority w:val="0"/>
    <w:rPr>
      <w:kern w:val="2"/>
      <w:sz w:val="21"/>
      <w:szCs w:val="24"/>
      <w:lang w:val="en-US" w:eastAsia="zh-CN" w:bidi="ar-SA"/>
    </w:rPr>
  </w:style>
  <w:style w:type="paragraph" w:customStyle="1" w:styleId="49">
    <w:name w:val="Table Paragraph"/>
    <w:basedOn w:val="1"/>
    <w:qFormat/>
    <w:uiPriority w:val="1"/>
    <w:rPr>
      <w:rFonts w:ascii="宋体" w:hAnsi="宋体" w:cs="宋体"/>
      <w:lang w:val="zh-CN" w:bidi="zh-CN"/>
    </w:rPr>
  </w:style>
  <w:style w:type="paragraph" w:customStyle="1" w:styleId="5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
    <w:name w:val="Table Normal"/>
    <w:semiHidden/>
    <w:unhideWhenUsed/>
    <w:qFormat/>
    <w:uiPriority w:val="0"/>
    <w:tblPr>
      <w:tblCellMar>
        <w:top w:w="0" w:type="dxa"/>
        <w:left w:w="0" w:type="dxa"/>
        <w:bottom w:w="0" w:type="dxa"/>
        <w:right w:w="0" w:type="dxa"/>
      </w:tblCellMar>
    </w:tblPr>
  </w:style>
  <w:style w:type="table" w:customStyle="1" w:styleId="52">
    <w:name w:val="网格型1"/>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4">
    <w:name w:val="正文正"/>
    <w:basedOn w:val="1"/>
    <w:qFormat/>
    <w:uiPriority w:val="0"/>
    <w:pPr>
      <w:spacing w:line="560" w:lineRule="exact"/>
      <w:ind w:firstLine="561"/>
    </w:pPr>
    <w:rPr>
      <w:rFonts w:ascii="Calibri" w:hAnsi="Calibri"/>
      <w:sz w:val="28"/>
      <w:szCs w:val="28"/>
    </w:rPr>
  </w:style>
  <w:style w:type="character" w:customStyle="1" w:styleId="55">
    <w:name w:val="15"/>
    <w:basedOn w:val="2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53</Pages>
  <Words>3998</Words>
  <Characters>4006</Characters>
  <Lines>1</Lines>
  <Paragraphs>1</Paragraphs>
  <TotalTime>23</TotalTime>
  <ScaleCrop>false</ScaleCrop>
  <LinksUpToDate>false</LinksUpToDate>
  <CharactersWithSpaces>4869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2025-07-03T09:38:46Z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6CE90034DDC84AC69F83A8D0B6260C89_13</vt:lpwstr>
  </property>
  <property fmtid="{D5CDD505-2E9C-101B-9397-08002B2CF9AE}" pid="4" name="KSOTemplateDocerSaveRecord">
    <vt:lpwstr>eyJoZGlkIjoiNWE3MDJmOWE2YjBmYzM4NjVkYmM5YjNjNDFhNjBlZDQiLCJ1c2VySWQiOiI4NTkxMzM3MTkifQ==</vt:lpwstr>
  </property>
</Properties>
</file>